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bookmarkStart w:id="1" w:name="_GoBack"/>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苏银理财恒源封闭债权223期优选2年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bookmarkEnd w:id="1"/>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w:t>
      </w:r>
      <w:r>
        <w:rPr>
          <w:rFonts w:hint="eastAsia" w:ascii="楷体" w:hAnsi="楷体" w:eastAsia="楷体"/>
          <w:sz w:val="21"/>
          <w:szCs w:val="21"/>
          <w:lang w:val="en-US" w:eastAsia="zh-CN"/>
        </w:rPr>
        <w:t>投向</w:t>
      </w:r>
      <w:r>
        <w:rPr>
          <w:rFonts w:hint="eastAsia" w:ascii="楷体" w:hAnsi="楷体" w:eastAsia="楷体"/>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b/>
          <w:sz w:val="21"/>
          <w:szCs w:val="21"/>
          <w:u w:val="single"/>
        </w:rPr>
        <w:t>本理</w:t>
      </w:r>
      <w:r>
        <w:rPr>
          <w:rFonts w:hint="eastAsia" w:ascii="楷体" w:hAnsi="楷体" w:eastAsia="楷体" w:cs="Times New Roman"/>
          <w:b/>
          <w:sz w:val="21"/>
          <w:szCs w:val="21"/>
          <w:u w:val="single"/>
        </w:rPr>
        <w:t>财产品不保证本金及收益，您的本金可能因市场变动</w:t>
      </w:r>
      <w:r>
        <w:rPr>
          <w:rFonts w:hint="eastAsia" w:ascii="楷体" w:hAnsi="楷体" w:eastAsia="楷体" w:cs="Times New Roman"/>
          <w:b/>
          <w:sz w:val="21"/>
          <w:szCs w:val="21"/>
          <w:u w:val="single"/>
          <w:lang w:val="en-US" w:eastAsia="zh-CN"/>
        </w:rPr>
        <w:t>或者交易违约等事项</w:t>
      </w:r>
      <w:r>
        <w:rPr>
          <w:rFonts w:hint="eastAsia" w:ascii="楷体" w:hAnsi="楷体" w:eastAsia="楷体" w:cs="Times New Roman"/>
          <w:b/>
          <w:sz w:val="21"/>
          <w:szCs w:val="21"/>
          <w:u w:val="single"/>
        </w:rPr>
        <w:t>而蒙受相应损失，投资者应充分认识投资风险，谨慎投资</w:t>
      </w:r>
      <w:r>
        <w:rPr>
          <w:rFonts w:hint="eastAsia" w:ascii="楷体" w:hAnsi="楷体" w:eastAsia="楷体" w:cs="Times New Roman"/>
          <w:b/>
          <w:sz w:val="21"/>
          <w:szCs w:val="21"/>
          <w:u w:val="single"/>
          <w:lang w:eastAsia="zh-CN"/>
        </w:rPr>
        <w:t>。</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本理财产品过往业绩不代表其未来表现，不等于理财产品实际收益，投资须谨慎；理财非存款、产品有风险、投资须谨慎。</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本理财产品任何业绩比较基准</w:t>
      </w:r>
      <w:r>
        <w:rPr>
          <w:rFonts w:hint="eastAsia" w:ascii="楷体" w:hAnsi="楷体" w:eastAsia="楷体" w:cs="Times New Roman"/>
          <w:b/>
          <w:sz w:val="21"/>
          <w:szCs w:val="21"/>
          <w:u w:val="single"/>
          <w:lang w:val="en-US" w:eastAsia="zh-CN"/>
        </w:rPr>
        <w:t>及</w:t>
      </w:r>
      <w:r>
        <w:rPr>
          <w:rFonts w:hint="eastAsia" w:ascii="楷体" w:hAnsi="楷体" w:eastAsia="楷体" w:cs="Times New Roman"/>
          <w:b/>
          <w:sz w:val="21"/>
          <w:szCs w:val="21"/>
          <w:u w:val="single"/>
        </w:rPr>
        <w:t>类似表述均属不具有法律约束力的用语</w:t>
      </w:r>
      <w:r>
        <w:rPr>
          <w:rFonts w:hint="eastAsia" w:ascii="楷体" w:hAnsi="楷体" w:eastAsia="楷体" w:cs="Times New Roman"/>
          <w:b/>
          <w:sz w:val="21"/>
          <w:szCs w:val="21"/>
          <w:u w:val="single"/>
          <w:lang w:eastAsia="zh-CN"/>
        </w:rPr>
        <w:t>。</w:t>
      </w:r>
      <w:r>
        <w:rPr>
          <w:rFonts w:hint="eastAsia" w:ascii="楷体" w:hAnsi="楷体" w:eastAsia="楷体" w:cs="Times New Roman"/>
          <w:b/>
          <w:sz w:val="21"/>
          <w:szCs w:val="21"/>
          <w:u w:val="single"/>
        </w:rPr>
        <w:t>业绩比较基准</w:t>
      </w:r>
      <w:r>
        <w:rPr>
          <w:rFonts w:hint="eastAsia" w:ascii="楷体" w:hAnsi="楷体" w:eastAsia="楷体" w:cs="Times New Roman"/>
          <w:b/>
          <w:sz w:val="21"/>
          <w:szCs w:val="21"/>
          <w:u w:val="single"/>
          <w:lang w:val="en-US" w:eastAsia="zh-CN"/>
        </w:rPr>
        <w:t>为</w:t>
      </w:r>
      <w:r>
        <w:rPr>
          <w:rFonts w:hint="eastAsia" w:ascii="楷体" w:hAnsi="楷体" w:eastAsia="楷体" w:cs="Times New Roman"/>
          <w:b/>
          <w:sz w:val="21"/>
          <w:szCs w:val="21"/>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《风险揭示书》、《理财产品说明书》、《理财产品投资协议书》、《投资者权益须知》、《理财产品（代理）销售协议书》共同构成本理财产品完整的不可分割的理财产品合同。</w:t>
      </w:r>
    </w:p>
    <w:p>
      <w:pPr>
        <w:numPr>
          <w:ilvl w:val="0"/>
          <w:numId w:val="1"/>
        </w:numPr>
        <w:ind w:left="420" w:leftChars="0" w:hanging="420" w:firstLineChars="0"/>
        <w:rPr>
          <w:rFonts w:hint="eastAsia" w:ascii="楷体" w:hAnsi="楷体" w:eastAsia="楷体"/>
          <w:sz w:val="21"/>
          <w:szCs w:val="21"/>
          <w:highlight w:val="none"/>
        </w:rPr>
      </w:pPr>
      <w:r>
        <w:rPr>
          <w:rFonts w:hint="eastAsia" w:ascii="楷体" w:hAnsi="楷体" w:eastAsia="楷体"/>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sz w:val="21"/>
          <w:szCs w:val="21"/>
          <w:lang w:eastAsia="zh-CN"/>
        </w:rPr>
        <w:t>（</w:t>
      </w:r>
      <w:r>
        <w:rPr>
          <w:rFonts w:hint="eastAsia" w:ascii="楷体" w:hAnsi="楷体" w:eastAsia="楷体"/>
          <w:sz w:val="21"/>
          <w:szCs w:val="21"/>
          <w:lang w:val="en-US" w:eastAsia="zh-CN"/>
        </w:rPr>
        <w:t>如有）</w:t>
      </w:r>
      <w:r>
        <w:rPr>
          <w:rFonts w:hint="eastAsia" w:ascii="楷体" w:hAnsi="楷体" w:eastAsia="楷体"/>
          <w:sz w:val="21"/>
          <w:szCs w:val="21"/>
        </w:rPr>
        <w:t>、不可抗力风险</w:t>
      </w:r>
      <w:r>
        <w:rPr>
          <w:rFonts w:hint="eastAsia" w:ascii="楷体" w:hAnsi="楷体" w:eastAsia="楷体"/>
          <w:sz w:val="21"/>
          <w:szCs w:val="21"/>
          <w:lang w:eastAsia="zh-CN"/>
        </w:rPr>
        <w:t>、</w:t>
      </w:r>
      <w:r>
        <w:rPr>
          <w:rFonts w:hint="eastAsia" w:ascii="楷体" w:hAnsi="楷体" w:eastAsia="楷体"/>
          <w:sz w:val="21"/>
          <w:szCs w:val="21"/>
          <w:lang w:val="en-US" w:eastAsia="zh-CN"/>
        </w:rPr>
        <w:t>关联关系及关联交易风险、</w:t>
      </w:r>
      <w:r>
        <w:rPr>
          <w:rFonts w:hint="eastAsia" w:ascii="楷体" w:hAnsi="楷体" w:eastAsia="楷体"/>
          <w:sz w:val="21"/>
          <w:szCs w:val="21"/>
          <w:lang w:eastAsia="zh-CN"/>
        </w:rPr>
        <w:t>特定投资标的风险</w:t>
      </w:r>
      <w:r>
        <w:rPr>
          <w:rFonts w:hint="eastAsia" w:ascii="楷体" w:hAnsi="楷体" w:eastAsia="楷体"/>
          <w:sz w:val="21"/>
          <w:szCs w:val="21"/>
        </w:rPr>
        <w:t>等。请仔细阅读《“苏银理财</w:t>
      </w:r>
      <w:r>
        <w:rPr>
          <w:rFonts w:hint="eastAsia" w:ascii="楷体" w:hAnsi="楷体" w:eastAsia="楷体"/>
          <w:sz w:val="21"/>
          <w:szCs w:val="21"/>
          <w:lang w:eastAsia="zh-CN"/>
        </w:rPr>
        <w:t>恒源封闭债权223期优选2年</w:t>
      </w:r>
      <w:r>
        <w:rPr>
          <w:rFonts w:hint="eastAsia" w:ascii="楷体" w:hAnsi="楷体" w:eastAsia="楷体"/>
          <w:sz w:val="21"/>
          <w:szCs w:val="21"/>
        </w:rPr>
        <w:t>”理财产</w:t>
      </w:r>
      <w:r>
        <w:rPr>
          <w:rFonts w:hint="eastAsia" w:ascii="楷体" w:hAnsi="楷体" w:eastAsia="楷体"/>
          <w:sz w:val="21"/>
          <w:szCs w:val="21"/>
          <w:highlight w:val="none"/>
        </w:rPr>
        <w:t>品风险揭示书》的“风险揭示”部分。</w:t>
      </w:r>
    </w:p>
    <w:p>
      <w:pPr>
        <w:numPr>
          <w:ilvl w:val="0"/>
          <w:numId w:val="1"/>
        </w:numPr>
        <w:ind w:left="420" w:leftChars="0" w:hanging="420" w:firstLineChars="0"/>
        <w:rPr>
          <w:rFonts w:hint="eastAsia" w:ascii="楷体" w:hAnsi="楷体" w:eastAsia="楷体"/>
          <w:b/>
          <w:bCs/>
          <w:sz w:val="21"/>
          <w:szCs w:val="21"/>
          <w:highlight w:val="none"/>
          <w:u w:val="single"/>
        </w:rPr>
      </w:pPr>
      <w:r>
        <w:rPr>
          <w:rFonts w:hint="eastAsia" w:ascii="楷体" w:hAnsi="楷体" w:eastAsia="楷体"/>
          <w:b/>
          <w:bCs/>
          <w:sz w:val="21"/>
          <w:szCs w:val="21"/>
          <w:highlight w:val="none"/>
          <w:u w:val="single"/>
          <w:lang w:val="en-US" w:eastAsia="zh-CN"/>
        </w:rPr>
        <w:t>本产品可设置多类份额，各类份额可能设置不同的销售对象、销售起点、业绩比较基准等，各类份额实际收取的销售服务费率、投资管理费率、超额业绩报酬（如有）等可能存在差异，投资者应根据实际情况自主选择购买。</w:t>
      </w:r>
    </w:p>
    <w:p>
      <w:pPr>
        <w:numPr>
          <w:ilvl w:val="0"/>
          <w:numId w:val="1"/>
        </w:numPr>
        <w:ind w:left="420" w:leftChars="0" w:hanging="420" w:firstLineChars="0"/>
        <w:rPr>
          <w:rFonts w:hint="eastAsia" w:ascii="楷体" w:hAnsi="楷体" w:eastAsia="楷体" w:cs="Times New Roman"/>
          <w:b/>
          <w:sz w:val="21"/>
          <w:szCs w:val="21"/>
          <w:highlight w:val="none"/>
          <w:u w:val="single"/>
        </w:rPr>
      </w:pPr>
      <w:r>
        <w:rPr>
          <w:rFonts w:hint="eastAsia" w:ascii="楷体" w:hAnsi="楷体" w:eastAsia="楷体" w:cs="Times New Roman"/>
          <w:b/>
          <w:sz w:val="21"/>
          <w:szCs w:val="21"/>
          <w:highlight w:val="none"/>
          <w:u w:val="single"/>
        </w:rPr>
        <w:t>投资者不得使用贷款、发行债券等筹集的非自有资金投资本理财产品。</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苏银理财恒源封闭债权223期优选2年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理财产品登记编码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Z7003125000235，</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w:t>
            </w:r>
            <w:r>
              <w:rPr>
                <w:rFonts w:hint="eastAsia" w:ascii="楷体" w:hAnsi="楷体" w:eastAsia="楷体" w:cs="宋体"/>
                <w:b/>
                <w:color w:val="auto"/>
                <w:spacing w:val="-2"/>
                <w:sz w:val="18"/>
                <w:szCs w:val="18"/>
                <w:highlight w:val="none"/>
                <w:lang w:val="en-US" w:eastAsia="zh-CN"/>
              </w:rPr>
              <w:t>名称</w:t>
            </w:r>
            <w:r>
              <w:rPr>
                <w:rFonts w:hint="eastAsia" w:ascii="楷体" w:hAnsi="楷体" w:eastAsia="楷体" w:cs="宋体"/>
                <w:b/>
                <w:color w:val="auto"/>
                <w:spacing w:val="-2"/>
                <w:sz w:val="18"/>
                <w:szCs w:val="18"/>
                <w:highlight w:val="none"/>
              </w:rPr>
              <w:t>/销售代码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A份额：苏银理财恒源封闭债权223期优选2年A/J07490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B份额：苏银理财恒源封闭债权223期优选2年B/J07491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C份额：苏银理财恒源封闭债权223期优选2年C/J07492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D份额：苏银理财恒源封闭债权223期优选2年D/J07493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E份额：苏银理财恒源封闭债权223期优选2年E/J07494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F份额：苏银理财恒源封闭债权223期优选2年F/J07495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G份额：苏银理财恒源封闭债权223期优选2年G/J07496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H份额：苏银理财恒源封闭债权223期优选2年H/J07497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I份额：苏银理财恒源封闭债权223期优选2年I/J07498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J份额：苏银理财恒源封闭债权223期优选2年J/J07499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K份额：苏银理财恒源封闭债权223期优选2年K/J07500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Z份额：苏银理财恒源封闭债权223期优选2年Z/J07501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JS份额：苏银理财恒源封闭债权223期优选2年JS鑫福款/J07502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·优选份额：苏银理财恒源封闭债权223期优选2年（芙蓉锦程 ·优选）/J07503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N份额：苏银理财恒源封闭债权223期优选2年N/J07504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产品内部风险评级</w:t>
            </w:r>
          </w:p>
        </w:tc>
        <w:tc>
          <w:tcPr>
            <w:tcW w:w="7937"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89"/>
              <w:gridCol w:w="203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H份额面向个人销售；其他份额面向个人和机构投资者销售。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币种</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37"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highlight w:val="none"/>
              </w:rPr>
              <w:t>本产品最低发行规模为</w:t>
            </w:r>
            <w:r>
              <w:rPr>
                <w:rFonts w:hint="eastAsia" w:ascii="楷体" w:hAnsi="楷体" w:eastAsia="楷体" w:cs="宋体"/>
                <w:spacing w:val="-2"/>
                <w:sz w:val="18"/>
                <w:szCs w:val="18"/>
                <w:highlight w:val="none"/>
                <w:lang w:val="en-US" w:eastAsia="zh-CN"/>
              </w:rPr>
              <w:t>3000万</w:t>
            </w:r>
            <w:r>
              <w:rPr>
                <w:rFonts w:hint="eastAsia" w:ascii="楷体" w:hAnsi="楷体" w:eastAsia="楷体" w:cs="宋体"/>
                <w:spacing w:val="-2"/>
                <w:sz w:val="18"/>
                <w:szCs w:val="18"/>
                <w:highlight w:val="none"/>
              </w:rPr>
              <w:t>元，管理人有权根据实际需要调整最低发行规模。若产品认购规模未达到最低发行规模，或新的法律、法规或监管政策导致本产品无法合法合规运行，或出现其他导致影响产品成立不可抗力因素，产品管理人有权利但无义务宣布产品不成立，并于产品募集期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r>
              <w:rPr>
                <w:rFonts w:hint="eastAsia" w:ascii="楷体" w:hAnsi="楷体" w:eastAsia="楷体" w:cs="宋体"/>
                <w:b/>
                <w:color w:val="auto"/>
                <w:spacing w:val="-2"/>
                <w:sz w:val="18"/>
                <w:szCs w:val="18"/>
              </w:rPr>
              <w:t>追加金额</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·优选/N份额：1元/1元的整数倍；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C/H/I份额：10,000元/10,000元的整数倍；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E份额：300,000元/10,000元的整数倍；</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sz w:val="18"/>
                <w:szCs w:val="18"/>
              </w:rPr>
              <w:t>苏银理财有权对上述起点金额</w:t>
            </w:r>
            <w:r>
              <w:rPr>
                <w:rFonts w:hint="eastAsia" w:ascii="楷体" w:hAnsi="楷体" w:eastAsia="楷体"/>
                <w:sz w:val="18"/>
                <w:szCs w:val="18"/>
                <w:highlight w:val="none"/>
              </w:rPr>
              <w:t>和</w:t>
            </w:r>
            <w:r>
              <w:rPr>
                <w:rFonts w:hint="eastAsia" w:ascii="楷体" w:hAnsi="楷体" w:eastAsia="楷体"/>
                <w:sz w:val="18"/>
                <w:szCs w:val="18"/>
                <w:highlight w:val="none"/>
                <w:lang w:val="en-US" w:eastAsia="zh-CN"/>
              </w:rPr>
              <w:t>追加</w:t>
            </w:r>
            <w:r>
              <w:rPr>
                <w:rFonts w:hint="eastAsia" w:ascii="楷体" w:hAnsi="楷体" w:eastAsia="楷体"/>
                <w:sz w:val="18"/>
                <w:szCs w:val="18"/>
                <w:highlight w:val="none"/>
              </w:rPr>
              <w:t>金额进行</w:t>
            </w:r>
            <w:r>
              <w:rPr>
                <w:rFonts w:hint="eastAsia" w:ascii="楷体" w:hAnsi="楷体" w:eastAsia="楷体"/>
                <w:sz w:val="18"/>
                <w:szCs w:val="18"/>
              </w:rPr>
              <w:t>调整，并在调整前进行公告。</w:t>
            </w:r>
            <w:r>
              <w:rPr>
                <w:rFonts w:hint="eastAsia" w:ascii="楷体" w:hAnsi="楷体" w:eastAsia="楷体"/>
                <w:sz w:val="18"/>
                <w:szCs w:val="18"/>
                <w:lang w:eastAsia="zh-CN"/>
              </w:rPr>
              <w:t>（</w:t>
            </w:r>
            <w:r>
              <w:rPr>
                <w:rFonts w:hint="eastAsia" w:ascii="楷体" w:hAnsi="楷体" w:eastAsia="楷体"/>
                <w:sz w:val="18"/>
                <w:szCs w:val="18"/>
              </w:rPr>
              <w:t>具体以销售机构设置为准</w:t>
            </w:r>
            <w:r>
              <w:rPr>
                <w:rFonts w:hint="eastAsia" w:ascii="楷体" w:hAnsi="楷体" w:eastAsia="楷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4</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10</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rPr>
              <w:t>投资者可于募集期结束日交易闭市前撤销认购申请，该时点后不得撤销，募集期结束日交易闭市时间具体以销售机构设置为准。管理人在法律允许的范围内保留延长募集期或缩短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2025年9月11日，如管理人调整募集期，则产品成立日/份额登记日将相应调整，以管理人公告为准。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29</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1.管理人</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w:t>
            </w:r>
            <w:r>
              <w:rPr>
                <w:rFonts w:hint="eastAsia" w:ascii="楷体" w:hAnsi="楷体" w:eastAsia="楷体" w:cs="宋体"/>
                <w:b/>
                <w:spacing w:val="-2"/>
                <w:sz w:val="18"/>
                <w:szCs w:val="18"/>
                <w:u w:val="single"/>
              </w:rPr>
              <w:t>在产品说明书约定的投资范围和投资比例内，</w:t>
            </w:r>
            <w:r>
              <w:rPr>
                <w:rFonts w:hint="eastAsia" w:ascii="楷体" w:hAnsi="楷体" w:eastAsia="楷体" w:cs="宋体"/>
                <w:b/>
                <w:spacing w:val="-2"/>
                <w:sz w:val="18"/>
                <w:szCs w:val="18"/>
                <w:highlight w:val="none"/>
                <w:u w:val="single"/>
              </w:rPr>
              <w:t>综合考虑各</w:t>
            </w:r>
            <w:r>
              <w:rPr>
                <w:rFonts w:hint="eastAsia" w:ascii="楷体" w:hAnsi="楷体" w:eastAsia="楷体" w:cs="宋体"/>
                <w:b/>
                <w:spacing w:val="-2"/>
                <w:sz w:val="18"/>
                <w:szCs w:val="18"/>
                <w:highlight w:val="none"/>
                <w:u w:val="single"/>
                <w:lang w:val="en-US" w:eastAsia="zh-CN"/>
              </w:rPr>
              <w:t>类</w:t>
            </w:r>
            <w:r>
              <w:rPr>
                <w:rFonts w:hint="eastAsia" w:ascii="楷体" w:hAnsi="楷体" w:eastAsia="楷体" w:cs="宋体"/>
                <w:b/>
                <w:spacing w:val="-2"/>
                <w:sz w:val="18"/>
                <w:szCs w:val="18"/>
                <w:highlight w:val="none"/>
                <w:u w:val="single"/>
              </w:rPr>
              <w:t>份额收取的</w:t>
            </w:r>
            <w:r>
              <w:rPr>
                <w:rFonts w:hint="eastAsia" w:ascii="楷体" w:hAnsi="楷体" w:eastAsia="楷体" w:cs="宋体"/>
                <w:b/>
                <w:spacing w:val="-2"/>
                <w:sz w:val="18"/>
                <w:szCs w:val="18"/>
                <w:highlight w:val="none"/>
                <w:u w:val="single"/>
                <w:lang w:val="en-US" w:eastAsia="zh-CN"/>
              </w:rPr>
              <w:t>销售服务费和投资管理费等费用情况，模拟测算得出业绩比较基准。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spacing w:val="-2"/>
                <w:sz w:val="18"/>
                <w:szCs w:val="18"/>
                <w:highlight w:val="none"/>
                <w:u w:val="single"/>
                <w:lang w:val="en-US" w:eastAsia="zh-CN"/>
              </w:rPr>
              <w:t>本产品各类份额可能因收取的销售服务费和投资管理费存在差异，业绩比较基准设置有所不同。</w:t>
            </w:r>
            <w:r>
              <w:rPr>
                <w:rFonts w:hint="eastAsia" w:ascii="楷体" w:hAnsi="楷体" w:eastAsia="楷体" w:cs="宋体"/>
                <w:b w:val="0"/>
                <w:bCs/>
                <w:spacing w:val="-2"/>
                <w:sz w:val="18"/>
                <w:szCs w:val="18"/>
                <w:highlight w:val="none"/>
                <w:u w:val="none"/>
              </w:rPr>
              <w:t>各</w:t>
            </w:r>
            <w:r>
              <w:rPr>
                <w:rFonts w:hint="eastAsia" w:ascii="楷体" w:hAnsi="楷体" w:eastAsia="楷体" w:cs="宋体"/>
                <w:b w:val="0"/>
                <w:bCs/>
                <w:spacing w:val="-2"/>
                <w:sz w:val="18"/>
                <w:szCs w:val="18"/>
                <w:highlight w:val="none"/>
                <w:u w:val="none"/>
                <w:lang w:val="en-US" w:eastAsia="zh-CN"/>
              </w:rPr>
              <w:t>类</w:t>
            </w:r>
            <w:r>
              <w:rPr>
                <w:rFonts w:hint="eastAsia" w:ascii="楷体" w:hAnsi="楷体" w:eastAsia="楷体" w:cs="宋体"/>
                <w:b w:val="0"/>
                <w:bCs/>
                <w:spacing w:val="-2"/>
                <w:sz w:val="18"/>
                <w:szCs w:val="18"/>
                <w:highlight w:val="none"/>
                <w:u w:val="none"/>
              </w:rPr>
              <w:t>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2.75%-3.15%/B份额：2.70%-3.10%/C份额：2.80%-3.20%/D份额：2.70%-3.10%/E份额：2.85%-3.25%/F份额：2.75%-3.15%/G份额：2.60%-3.00%/H份额：2.65%-3.05%/I份额：2.90%-3.30%/J份额：2.70%-3.10%/K份额：2.65%-3.05%/Z份额：2.85%-3.25%/JS份额：2.70%-3.10%/芙蓉锦程 ·优选份额：2.80%-3.20%/N份额：2.80%-3.20%。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本产品为净值型产品，业绩表现将随市场波动，具有不确定性。业绩比较基准是管理人基于产品性质、投资策略、过往经验等因素对产品设定的投资目标。业绩比较基准不是预期收益率，不代表产品的未来表现和实际收益，不构成对产品收益的承诺。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I份额：0.14%</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N份额：0.05%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N份额：0.20%</w:t>
            </w:r>
            <w:r>
              <w:rPr>
                <w:rFonts w:hint="eastAsia" w:ascii="楷体" w:hAnsi="楷体" w:eastAsia="楷体" w:cs="宋体"/>
                <w:color w:val="auto"/>
                <w:spacing w:val="-2"/>
                <w:sz w:val="18"/>
                <w:szCs w:val="18"/>
                <w:lang w:val="en-US" w:eastAsia="zh-CN"/>
              </w:rPr>
              <w:t>。</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如有）</w:t>
            </w:r>
            <w:r>
              <w:rPr>
                <w:rFonts w:hint="eastAsia" w:ascii="楷体" w:hAnsi="楷体" w:eastAsia="楷体" w:cs="宋体"/>
                <w:color w:val="auto"/>
                <w:spacing w:val="-2"/>
                <w:sz w:val="18"/>
                <w:szCs w:val="18"/>
              </w:rPr>
              <w:t>：若产品各份额实际投资收益在扣除托管费、销售服务费、投资管理费等费用后超过各份额业绩比较基准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pStyle w:val="34"/>
              <w:keepNext w:val="0"/>
              <w:keepLines w:val="0"/>
              <w:pageBreakBefore w:val="0"/>
              <w:widowControl w:val="0"/>
              <w:kinsoku w:val="0"/>
              <w:wordWrap/>
              <w:overflowPunct w:val="0"/>
              <w:topLinePunct w:val="0"/>
              <w:bidi w:val="0"/>
              <w:snapToGrid w:val="0"/>
              <w:spacing w:line="240" w:lineRule="auto"/>
              <w:ind w:left="21" w:leftChars="10" w:right="21" w:rightChars="10"/>
              <w:jc w:val="both"/>
              <w:textAlignment w:val="auto"/>
              <w:rPr>
                <w:rFonts w:hint="eastAsia" w:ascii="楷体" w:hAnsi="楷体" w:eastAsia="楷体" w:cs="宋体"/>
                <w:b/>
                <w:bCs/>
                <w:spacing w:val="-2"/>
                <w:sz w:val="18"/>
                <w:szCs w:val="18"/>
                <w:highlight w:val="none"/>
                <w:u w:val="single"/>
              </w:rPr>
            </w:pPr>
            <w:r>
              <w:rPr>
                <w:rFonts w:hint="eastAsia" w:ascii="楷体" w:hAnsi="楷体" w:eastAsia="楷体" w:cs="宋体"/>
                <w:b/>
                <w:bCs/>
                <w:spacing w:val="-2"/>
                <w:sz w:val="18"/>
                <w:szCs w:val="18"/>
                <w:highlight w:val="none"/>
                <w:u w:val="single"/>
              </w:rPr>
              <w:t>本产品设置有多</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份额按照设置的销售对象和销售起点在不同的销售机构销售，各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份额实际收取的销售服务费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、投资管理费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和超额业绩报酬（如有）可能存在差异，投资者应根据各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份额收费情况自主选择购买。</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spacing w:val="-2"/>
                <w:sz w:val="18"/>
                <w:szCs w:val="18"/>
                <w:highlight w:val="none"/>
                <w:u w:val="single"/>
              </w:rPr>
              <w:t>产品存续期内管理人有权根据产品运行情况制定费率优惠措施，优惠后实际执行的费率以管理人公告为准。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37"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税款</w:t>
            </w:r>
          </w:p>
        </w:tc>
        <w:tc>
          <w:tcPr>
            <w:tcW w:w="7937" w:type="dxa"/>
            <w:vAlign w:val="center"/>
          </w:tcPr>
          <w:p>
            <w:pPr>
              <w:keepNext w:val="0"/>
              <w:keepLines w:val="0"/>
              <w:pageBreakBefore w:val="0"/>
              <w:widowControl w:val="0"/>
              <w:wordWrap/>
              <w:topLinePunct w:val="0"/>
              <w:bidi w:val="0"/>
              <w:snapToGrid w:val="0"/>
              <w:spacing w:line="240" w:lineRule="auto"/>
              <w:ind w:left="42" w:leftChars="20" w:right="42" w:rightChars="20"/>
              <w:textAlignment w:val="auto"/>
              <w:rPr>
                <w:rFonts w:hint="eastAsia" w:ascii="楷体" w:hAnsi="楷体" w:eastAsia="楷体" w:cs="宋体"/>
                <w:spacing w:val="-2"/>
                <w:kern w:val="2"/>
                <w:sz w:val="18"/>
                <w:szCs w:val="18"/>
                <w:highlight w:val="none"/>
                <w:lang w:val="en-US" w:eastAsia="zh-CN" w:bidi="ar-SA"/>
              </w:rPr>
            </w:pPr>
            <w:r>
              <w:rPr>
                <w:rFonts w:hint="eastAsia" w:ascii="楷体" w:hAnsi="楷体" w:eastAsia="楷体" w:cs="宋体"/>
                <w:color w:val="auto"/>
                <w:spacing w:val="-2"/>
                <w:sz w:val="18"/>
                <w:szCs w:val="18"/>
              </w:rPr>
              <w:t>根据中国增值税等税收相关法律法规、税收政策等要求，产品应缴纳的增值税及附加税费（包括但不限于城市维护建设税、教育费附加及地方教育附加等）由管理人从理财产品财产中支付，由此可能会使理财产品净值或实际收益降低。</w:t>
            </w: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s="楷体"/>
          <w:b w:val="0"/>
          <w:bCs w:val="0"/>
          <w:color w:val="auto"/>
          <w:sz w:val="21"/>
          <w:szCs w:val="21"/>
          <w:highlight w:val="none"/>
          <w:u w:val="none"/>
        </w:rPr>
        <w:t>（以下简称“苏银理财”）</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本产品各类份额销售机构如下：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Z份额：郑州银行股份有限公司/莱商银行股份有限公司/青岛银行股份有限公司/齐鲁银行股份有限公司/嘉兴银行股份有限公司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N份额：浙江海宁农村商业银行股份有限公司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销售代码：指本理财产品可能</w:t>
      </w:r>
      <w:r>
        <w:rPr>
          <w:rFonts w:hint="eastAsia" w:ascii="楷体" w:hAnsi="楷体" w:eastAsia="楷体" w:cs="Calibri"/>
          <w:color w:val="auto"/>
          <w:sz w:val="21"/>
          <w:szCs w:val="21"/>
          <w:highlight w:val="none"/>
          <w:lang w:val="en-US" w:eastAsia="zh-CN"/>
        </w:rPr>
        <w:t>设置一类或多类</w:t>
      </w:r>
      <w:r>
        <w:rPr>
          <w:rFonts w:hint="eastAsia" w:ascii="楷体" w:hAnsi="楷体" w:eastAsia="楷体" w:cs="Calibri"/>
          <w:color w:val="auto"/>
          <w:sz w:val="21"/>
          <w:szCs w:val="21"/>
          <w:highlight w:val="none"/>
        </w:rPr>
        <w:t>产品份额，管理人在理财产品销售管理过程中</w:t>
      </w:r>
      <w:r>
        <w:rPr>
          <w:rFonts w:hint="eastAsia" w:ascii="楷体" w:hAnsi="楷体" w:eastAsia="楷体" w:cs="Calibri"/>
          <w:color w:val="auto"/>
          <w:sz w:val="21"/>
          <w:szCs w:val="21"/>
          <w:highlight w:val="none"/>
          <w:lang w:val="en-US" w:eastAsia="zh-CN"/>
        </w:rPr>
        <w:t>对各类份额</w:t>
      </w:r>
      <w:r>
        <w:rPr>
          <w:rFonts w:hint="eastAsia" w:ascii="楷体" w:hAnsi="楷体" w:eastAsia="楷体" w:cs="Calibri"/>
          <w:color w:val="auto"/>
          <w:sz w:val="21"/>
          <w:szCs w:val="21"/>
          <w:highlight w:val="none"/>
        </w:rPr>
        <w:t>设置的内部</w:t>
      </w:r>
      <w:r>
        <w:rPr>
          <w:rFonts w:hint="eastAsia" w:ascii="楷体" w:hAnsi="楷体" w:eastAsia="楷体" w:cs="Calibri"/>
          <w:color w:val="auto"/>
          <w:sz w:val="21"/>
          <w:szCs w:val="21"/>
          <w:highlight w:val="none"/>
          <w:lang w:val="en-US" w:eastAsia="zh-CN"/>
        </w:rPr>
        <w:t>代码</w:t>
      </w:r>
      <w:r>
        <w:rPr>
          <w:rFonts w:hint="eastAsia" w:ascii="楷体" w:hAnsi="楷体" w:eastAsia="楷体" w:cs="Calibri"/>
          <w:color w:val="auto"/>
          <w:sz w:val="21"/>
          <w:szCs w:val="21"/>
          <w:highlight w:val="none"/>
        </w:rPr>
        <w:t>。</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理财产品份额：指投资者持有本理财产品的单位数额。</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highlight w:val="none"/>
        </w:rPr>
      </w:pPr>
      <w:r>
        <w:rPr>
          <w:rFonts w:hint="eastAsia" w:ascii="楷体" w:hAnsi="楷体" w:eastAsia="楷体" w:cs="楷体"/>
          <w:color w:val="auto"/>
          <w:sz w:val="21"/>
          <w:szCs w:val="21"/>
          <w:highlight w:val="none"/>
        </w:rPr>
        <w:t>理财产品资产净值/</w:t>
      </w:r>
      <w:r>
        <w:rPr>
          <w:rFonts w:hint="eastAsia" w:ascii="楷体" w:hAnsi="楷体" w:eastAsia="楷体" w:cs="楷体"/>
          <w:color w:val="auto"/>
          <w:sz w:val="21"/>
          <w:szCs w:val="21"/>
          <w:highlight w:val="none"/>
          <w:lang w:val="en-US" w:eastAsia="zh-CN"/>
        </w:rPr>
        <w:t>净资产</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指产品</w:t>
      </w:r>
      <w:r>
        <w:rPr>
          <w:rFonts w:hint="eastAsia" w:ascii="楷体" w:hAnsi="楷体" w:eastAsia="楷体" w:cs="楷体"/>
          <w:color w:val="auto"/>
          <w:sz w:val="21"/>
          <w:szCs w:val="21"/>
          <w:highlight w:val="none"/>
        </w:rPr>
        <w:t>资产总值</w:t>
      </w:r>
      <w:r>
        <w:rPr>
          <w:rFonts w:hint="eastAsia" w:ascii="楷体" w:hAnsi="楷体" w:eastAsia="楷体" w:cs="楷体"/>
          <w:color w:val="auto"/>
          <w:sz w:val="21"/>
          <w:szCs w:val="21"/>
          <w:highlight w:val="none"/>
          <w:lang w:val="en-US" w:eastAsia="zh-CN"/>
        </w:rPr>
        <w:t>减去</w:t>
      </w:r>
      <w:r>
        <w:rPr>
          <w:rFonts w:hint="eastAsia" w:ascii="楷体" w:hAnsi="楷体" w:eastAsia="楷体" w:cs="楷体"/>
          <w:color w:val="auto"/>
          <w:sz w:val="21"/>
          <w:szCs w:val="21"/>
          <w:highlight w:val="none"/>
        </w:rPr>
        <w:t>产品负债总值</w:t>
      </w:r>
      <w:r>
        <w:rPr>
          <w:rFonts w:hint="eastAsia" w:ascii="楷体" w:hAnsi="楷体" w:eastAsia="楷体" w:cs="楷体"/>
          <w:color w:val="auto"/>
          <w:sz w:val="21"/>
          <w:szCs w:val="21"/>
          <w:highlight w:val="none"/>
          <w:lang w:val="en-US" w:eastAsia="zh-CN"/>
        </w:rPr>
        <w:t>后的价值</w:t>
      </w:r>
      <w:r>
        <w:rPr>
          <w:rFonts w:hint="eastAsia" w:ascii="楷体" w:hAnsi="楷体" w:eastAsia="楷体" w:cs="楷体"/>
          <w:color w:val="auto"/>
          <w:sz w:val="21"/>
          <w:szCs w:val="21"/>
          <w:highlight w:val="none"/>
        </w:rPr>
        <w:t>。</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理财产品份额单位净值/理财产品单位净值/单位净值：指每1份理财产品份额以人民币计价的价格。理财产品单位净值=资产净值/产品总份额。</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工作日：</w:t>
      </w:r>
      <w:r>
        <w:rPr>
          <w:rFonts w:hint="eastAsia" w:ascii="楷体" w:hAnsi="楷体" w:eastAsia="楷体" w:cs="Calibri"/>
          <w:color w:val="auto"/>
          <w:sz w:val="21"/>
          <w:szCs w:val="21"/>
          <w:highlight w:val="none"/>
        </w:rPr>
        <w:t>指国家法定工作日。</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w:t>
      </w:r>
      <w:r>
        <w:rPr>
          <w:rFonts w:hint="eastAsia" w:ascii="楷体" w:hAnsi="楷体" w:eastAsia="楷体" w:cs="Calibri"/>
          <w:color w:val="auto"/>
          <w:sz w:val="21"/>
          <w:szCs w:val="21"/>
          <w:lang w:val="en-US" w:eastAsia="zh-CN"/>
        </w:rPr>
        <w:t>购买</w:t>
      </w:r>
      <w:r>
        <w:rPr>
          <w:rFonts w:hint="eastAsia" w:ascii="楷体" w:hAnsi="楷体" w:eastAsia="楷体" w:cs="Calibri"/>
          <w:color w:val="auto"/>
          <w:sz w:val="21"/>
          <w:szCs w:val="21"/>
        </w:rPr>
        <w:t>申请进行份额登记的日期。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sz w:val="21"/>
          <w:szCs w:val="21"/>
          <w:highlight w:val="none"/>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投资限制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本理财产品投资于单只证券或单只公募证券投资基金的市值不超过本产品净资产的10%。</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rPr>
        <w:t>管理人发行的全部公募理财产品投资单只证券或者单只公募证券投资基金的市值不得超过该证券市值或者公募证券投资基金市值</w:t>
      </w:r>
      <w:r>
        <w:rPr>
          <w:rFonts w:hint="eastAsia" w:ascii="楷体" w:hAnsi="楷体" w:eastAsia="楷体"/>
          <w:color w:val="auto"/>
          <w:sz w:val="21"/>
          <w:szCs w:val="21"/>
          <w:highlight w:val="none"/>
        </w:rPr>
        <w:t>的30%。其中，管理人全部开放式公募理财产品投资单一上市公司发行的股票不得超过该上市公司可流通股票的15%。</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管理人全部产品持有单一上市公司发行的股票，不得超过该上市公司可流通股票的30%。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olor w:val="auto"/>
          <w:sz w:val="21"/>
          <w:szCs w:val="21"/>
        </w:rPr>
        <w:t>针对上述1、2</w:t>
      </w:r>
      <w:r>
        <w:rPr>
          <w:rFonts w:hint="eastAsia" w:ascii="楷体" w:hAnsi="楷体" w:eastAsia="楷体"/>
          <w:color w:val="auto"/>
          <w:sz w:val="21"/>
          <w:szCs w:val="21"/>
          <w:lang w:eastAsia="zh-CN"/>
        </w:rPr>
        <w:t>、</w:t>
      </w:r>
      <w:r>
        <w:rPr>
          <w:rFonts w:hint="eastAsia" w:ascii="楷体" w:hAnsi="楷体" w:eastAsia="楷体"/>
          <w:color w:val="auto"/>
          <w:sz w:val="21"/>
          <w:szCs w:val="21"/>
        </w:rPr>
        <w:t>3项，非因管理人主观因素致使不符合前述比例限制的，管理人将在流动性受限资产可出售、可转让或者恢复交易的10个交易日内调整至符合相关要求。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rPr>
      </w:pP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杠杆率</w:t>
      </w:r>
      <w:r>
        <w:rPr>
          <w:rFonts w:hint="eastAsia" w:ascii="楷体" w:hAnsi="楷体" w:eastAsia="楷体"/>
          <w:color w:val="auto"/>
          <w:sz w:val="21"/>
          <w:szCs w:val="21"/>
        </w:rPr>
        <w:t>不</w:t>
      </w:r>
      <w:r>
        <w:rPr>
          <w:rFonts w:hint="eastAsia" w:ascii="楷体" w:hAnsi="楷体" w:eastAsia="楷体"/>
          <w:color w:val="auto"/>
          <w:sz w:val="21"/>
          <w:szCs w:val="21"/>
          <w:highlight w:val="none"/>
        </w:rPr>
        <w:t>超过1</w:t>
      </w:r>
      <w:r>
        <w:rPr>
          <w:rFonts w:hint="eastAsia" w:ascii="楷体" w:hAnsi="楷体" w:eastAsia="楷体"/>
          <w:color w:val="auto"/>
          <w:sz w:val="21"/>
          <w:szCs w:val="21"/>
          <w:highlight w:val="none"/>
          <w:lang w:val="en-US" w:eastAsia="zh-CN"/>
        </w:rPr>
        <w:t>5</w:t>
      </w:r>
      <w:r>
        <w:rPr>
          <w:rFonts w:hint="eastAsia" w:ascii="楷体" w:hAnsi="楷体" w:eastAsia="楷体"/>
          <w:color w:val="auto"/>
          <w:sz w:val="21"/>
          <w:szCs w:val="21"/>
          <w:highlight w:val="none"/>
        </w:rPr>
        <w:t>0%。</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投资管理调整</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ascii="楷体" w:hAnsi="楷体" w:eastAsia="楷体" w:cs="Times New Roman"/>
          <w:color w:val="auto"/>
          <w:kern w:val="2"/>
          <w:sz w:val="21"/>
          <w:szCs w:val="21"/>
          <w:lang w:val="en-US" w:eastAsia="zh-CN" w:bidi="ar-SA"/>
        </w:rPr>
      </w:pPr>
      <w:r>
        <w:rPr>
          <w:rFonts w:hint="eastAsia" w:ascii="楷体" w:hAnsi="楷体" w:eastAsia="楷体" w:cs="Times New Roman"/>
          <w:color w:val="auto"/>
          <w:kern w:val="2"/>
          <w:sz w:val="21"/>
          <w:szCs w:val="21"/>
          <w:lang w:val="en-US" w:eastAsia="zh-CN" w:bidi="ar-SA"/>
        </w:rPr>
        <w:t>若法律法规、国家监管政策或市场情况发生变化，管理人在不改变产品类型的情况下，可对本说明书中已约定的投资范围、投资品种、投资比例等事项进行调整，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lang w:val="en-US" w:eastAsia="zh-CN"/>
        </w:rPr>
      </w:pPr>
      <w:r>
        <w:rPr>
          <w:rFonts w:hint="eastAsia" w:ascii="楷体" w:hAnsi="楷体" w:eastAsia="楷体" w:cs="楷体"/>
          <w:color w:val="auto"/>
          <w:sz w:val="21"/>
          <w:szCs w:val="21"/>
        </w:rPr>
        <w:t>如监管有最新规定的，可参照监管规定</w:t>
      </w:r>
      <w:r>
        <w:rPr>
          <w:rFonts w:hint="eastAsia" w:ascii="楷体" w:hAnsi="楷体" w:eastAsia="楷体" w:cs="楷体"/>
          <w:color w:val="auto"/>
          <w:sz w:val="21"/>
          <w:szCs w:val="21"/>
          <w:lang w:val="en-US" w:eastAsia="zh-CN"/>
        </w:rPr>
        <w:t>执行</w:t>
      </w:r>
      <w:r>
        <w:rPr>
          <w:rFonts w:hint="eastAsia" w:ascii="楷体" w:hAnsi="楷体" w:eastAsia="楷体" w:cs="楷体"/>
          <w:color w:val="auto"/>
          <w:sz w:val="21"/>
          <w:szCs w:val="21"/>
        </w:rPr>
        <w:t>。</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0"/>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0"/>
          <w:numId w:val="0"/>
        </w:numPr>
        <w:ind w:left="0" w:firstLine="420" w:firstLineChars="200"/>
        <w:rPr>
          <w:rFonts w:hint="eastAsia" w:ascii="楷体" w:hAnsi="楷体" w:eastAsia="楷体"/>
          <w:b w:val="0"/>
          <w:bCs w:val="0"/>
          <w:color w:val="auto"/>
          <w:sz w:val="21"/>
          <w:szCs w:val="21"/>
        </w:rPr>
      </w:pPr>
      <w:r>
        <w:rPr>
          <w:rFonts w:hint="eastAsia" w:ascii="楷体" w:hAnsi="楷体" w:eastAsia="楷体" w:cs="Calibri"/>
          <w:b w:val="0"/>
          <w:bCs w:val="0"/>
          <w:color w:val="auto"/>
          <w:sz w:val="21"/>
          <w:szCs w:val="21"/>
        </w:rPr>
        <w:t>在理财产品投资运作期间内，投资者无权要求提前终止该理财产品。在理财产品投资运作期间内，</w:t>
      </w:r>
      <w:r>
        <w:rPr>
          <w:rFonts w:hint="eastAsia" w:ascii="楷体" w:hAnsi="楷体" w:eastAsia="楷体" w:cs="Calibri"/>
          <w:b w:val="0"/>
          <w:bCs w:val="0"/>
          <w:color w:val="auto"/>
          <w:sz w:val="21"/>
          <w:szCs w:val="21"/>
          <w:lang w:val="en-US" w:eastAsia="zh-CN"/>
        </w:rPr>
        <w:t>包括但不限于</w:t>
      </w:r>
      <w:r>
        <w:rPr>
          <w:rFonts w:hint="eastAsia" w:ascii="楷体" w:hAnsi="楷体" w:eastAsia="楷体" w:cs="Calibri"/>
          <w:b w:val="0"/>
          <w:bCs w:val="0"/>
          <w:color w:val="auto"/>
          <w:sz w:val="21"/>
          <w:szCs w:val="21"/>
        </w:rPr>
        <w:t>出现下列情形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b w:val="0"/>
          <w:bCs w:val="0"/>
          <w:color w:val="auto"/>
          <w:sz w:val="21"/>
          <w:szCs w:val="21"/>
        </w:rPr>
        <w:t>如理财产品管理人提前终止本理财产品，将至少提前2个工作日（含）按说明书约定的信息披露方式予以披露</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明确产品终止日</w:t>
      </w:r>
      <w:r>
        <w:rPr>
          <w:rFonts w:hint="eastAsia" w:ascii="楷体" w:hAnsi="楷体" w:eastAsia="楷体"/>
          <w:b w:val="0"/>
          <w:bCs w:val="0"/>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正常终止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b w:val="0"/>
          <w:bCs w:val="0"/>
          <w:color w:val="auto"/>
          <w:sz w:val="21"/>
          <w:szCs w:val="21"/>
        </w:rPr>
      </w:pPr>
      <w:r>
        <w:rPr>
          <w:rFonts w:hint="eastAsia" w:ascii="楷体" w:hAnsi="楷体" w:eastAsia="楷体"/>
          <w:b w:val="0"/>
          <w:bCs w:val="0"/>
          <w:color w:val="auto"/>
          <w:sz w:val="21"/>
          <w:szCs w:val="21"/>
        </w:rPr>
        <w:t>投资者可得资金=投资者持有份额×产品到期</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终止）</w:t>
      </w:r>
      <w:r>
        <w:rPr>
          <w:rFonts w:hint="eastAsia" w:ascii="楷体" w:hAnsi="楷体" w:eastAsia="楷体"/>
          <w:b w:val="0"/>
          <w:bCs w:val="0"/>
          <w:color w:val="auto"/>
          <w:sz w:val="21"/>
          <w:szCs w:val="21"/>
        </w:rPr>
        <w:t>时单位净值</w:t>
      </w:r>
      <w:r>
        <w:rPr>
          <w:rFonts w:hint="eastAsia" w:ascii="楷体" w:hAnsi="楷体" w:eastAsia="楷体"/>
          <w:b w:val="0"/>
          <w:bCs w:val="0"/>
          <w:color w:val="auto"/>
          <w:sz w:val="21"/>
          <w:szCs w:val="21"/>
          <w:lang w:val="en-US" w:eastAsia="zh-CN"/>
        </w:rPr>
        <w:t>-超额业绩报酬（如有）</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w:t>
      </w:r>
      <w:r>
        <w:rPr>
          <w:rFonts w:hint="eastAsia" w:ascii="楷体" w:hAnsi="楷体" w:eastAsia="楷体" w:cs="Calibri"/>
          <w:color w:val="auto"/>
          <w:sz w:val="21"/>
          <w:szCs w:val="21"/>
          <w:lang w:val="en-US" w:eastAsia="zh-CN"/>
        </w:rPr>
        <w:t>非工作日</w:t>
      </w:r>
      <w:r>
        <w:rPr>
          <w:rFonts w:hint="eastAsia" w:ascii="楷体" w:hAnsi="楷体" w:eastAsia="楷体" w:cs="Calibri"/>
          <w:color w:val="auto"/>
          <w:sz w:val="21"/>
          <w:szCs w:val="21"/>
        </w:rPr>
        <w:t>则相应顺延。</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r>
        <w:rPr>
          <w:rFonts w:hint="eastAsia" w:ascii="楷体" w:hAnsi="楷体" w:eastAsia="楷体"/>
          <w:sz w:val="21"/>
          <w:szCs w:val="21"/>
          <w:lang w:eastAsia="zh-CN"/>
        </w:rPr>
        <w:t>。</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hint="eastAsia" w:ascii="楷体" w:hAnsi="楷体" w:eastAsia="楷体"/>
          <w:sz w:val="21"/>
          <w:szCs w:val="21"/>
          <w:lang w:eastAsia="zh-CN"/>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color w:val="auto"/>
          <w:sz w:val="21"/>
          <w:szCs w:val="21"/>
          <w:lang w:eastAsia="zh-CN"/>
        </w:rPr>
        <w:t>，</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r>
        <w:rPr>
          <w:rFonts w:hint="eastAsia" w:ascii="楷体" w:hAnsi="楷体" w:eastAsia="楷体"/>
          <w:sz w:val="21"/>
          <w:szCs w:val="21"/>
          <w:lang w:eastAsia="zh-CN"/>
        </w:rPr>
        <w:t>。</w:t>
      </w:r>
    </w:p>
    <w:p>
      <w:pPr>
        <w:ind w:firstLine="420" w:firstLineChars="200"/>
        <w:rPr>
          <w:rFonts w:hint="eastAsia" w:ascii="楷体" w:hAnsi="楷体" w:eastAsia="楷体"/>
          <w:szCs w:val="21"/>
          <w:lang w:eastAsia="zh-CN"/>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w:t>
      </w:r>
      <w:r>
        <w:rPr>
          <w:rFonts w:hint="eastAsia" w:ascii="楷体" w:hAnsi="楷体" w:eastAsia="楷体"/>
          <w:szCs w:val="21"/>
          <w:lang w:eastAsia="zh-CN"/>
        </w:rPr>
        <w:t>，</w:t>
      </w:r>
      <w:r>
        <w:rPr>
          <w:rFonts w:hint="eastAsia" w:ascii="楷体" w:hAnsi="楷体" w:eastAsia="楷体"/>
          <w:szCs w:val="21"/>
        </w:rPr>
        <w:t>销售服务费＝产品成立日的产品份额</w:t>
      </w:r>
      <w:r>
        <w:rPr>
          <w:rFonts w:hint="eastAsia" w:ascii="楷体" w:hAnsi="楷体" w:eastAsia="楷体"/>
          <w:szCs w:val="21"/>
          <w:lang w:val="en-US" w:eastAsia="zh-CN"/>
        </w:rPr>
        <w:t>数</w:t>
      </w:r>
      <w:r>
        <w:rPr>
          <w:rFonts w:hint="eastAsia" w:ascii="楷体" w:hAnsi="楷体" w:eastAsia="楷体"/>
          <w:szCs w:val="21"/>
        </w:rPr>
        <w:t>×销售服务费率×产品投资期限天数÷365</w:t>
      </w:r>
      <w:r>
        <w:rPr>
          <w:rFonts w:hint="eastAsia" w:ascii="楷体" w:hAnsi="楷体" w:eastAsia="楷体"/>
          <w:szCs w:val="21"/>
          <w:lang w:eastAsia="zh-CN"/>
        </w:rPr>
        <w:t>。</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r>
        <w:rPr>
          <w:rFonts w:hint="eastAsia" w:ascii="楷体" w:hAnsi="楷体" w:eastAsia="楷体"/>
          <w:sz w:val="21"/>
          <w:szCs w:val="21"/>
          <w:lang w:eastAsia="zh-CN"/>
        </w:rPr>
        <w:t>。</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如有）</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numPr>
          <w:ilvl w:val="0"/>
          <w:numId w:val="10"/>
        </w:numPr>
        <w:tabs>
          <w:tab w:val="left" w:pos="728"/>
        </w:tabs>
        <w:ind w:left="0" w:firstLine="420" w:firstLineChars="200"/>
        <w:rPr>
          <w:rFonts w:hint="eastAsia" w:ascii="楷体" w:hAnsi="楷体" w:eastAsia="楷体" w:cs="楷体"/>
          <w:sz w:val="21"/>
          <w:szCs w:val="21"/>
          <w:highlight w:val="none"/>
        </w:rPr>
      </w:pPr>
      <w:r>
        <w:rPr>
          <w:rFonts w:hint="eastAsia" w:ascii="楷体" w:hAnsi="楷体" w:eastAsia="楷体" w:cs="Calibri"/>
          <w:color w:val="auto"/>
          <w:szCs w:val="21"/>
          <w:lang w:val="en-US" w:eastAsia="zh-CN"/>
        </w:rPr>
        <w:t>费用计算</w:t>
      </w:r>
      <w:r>
        <w:rPr>
          <w:rFonts w:hint="eastAsia" w:ascii="楷体" w:hAnsi="楷体" w:eastAsia="楷体" w:cs="Calibri"/>
          <w:color w:val="auto"/>
          <w:szCs w:val="21"/>
        </w:rPr>
        <w:t>四舍五入保留至小数点后两位</w:t>
      </w:r>
      <w:r>
        <w:rPr>
          <w:rFonts w:hint="eastAsia" w:ascii="楷体" w:hAnsi="楷体" w:eastAsia="楷体" w:cs="Calibri"/>
          <w:color w:val="auto"/>
          <w:szCs w:val="21"/>
          <w:lang w:eastAsia="zh-CN"/>
        </w:rPr>
        <w:t>。</w:t>
      </w:r>
    </w:p>
    <w:p>
      <w:pPr>
        <w:ind w:firstLine="420" w:firstLineChars="200"/>
        <w:rPr>
          <w:rFonts w:hint="eastAsia" w:ascii="楷体" w:hAnsi="楷体" w:eastAsia="楷体"/>
          <w:sz w:val="21"/>
          <w:szCs w:val="21"/>
          <w:highlight w:val="none"/>
        </w:rPr>
      </w:pPr>
      <w:r>
        <w:rPr>
          <w:rFonts w:hint="eastAsia" w:ascii="楷体" w:hAnsi="楷体" w:eastAsia="楷体" w:cs="楷体"/>
          <w:sz w:val="21"/>
          <w:szCs w:val="21"/>
          <w:highlight w:val="none"/>
        </w:rPr>
        <w:t>产品管理人有权根据市场情况等</w:t>
      </w:r>
      <w:r>
        <w:rPr>
          <w:rFonts w:hint="eastAsia" w:ascii="楷体" w:hAnsi="楷体" w:eastAsia="楷体" w:cs="楷体"/>
          <w:sz w:val="21"/>
          <w:szCs w:val="21"/>
          <w:highlight w:val="none"/>
          <w:lang w:val="en-US" w:eastAsia="zh-CN"/>
        </w:rPr>
        <w:t>因素</w:t>
      </w:r>
      <w:r>
        <w:rPr>
          <w:rFonts w:hint="eastAsia" w:ascii="楷体" w:hAnsi="楷体" w:eastAsia="楷体" w:cs="楷体"/>
          <w:sz w:val="21"/>
          <w:szCs w:val="21"/>
          <w:highlight w:val="none"/>
        </w:rPr>
        <w:t>调整上述各项费用费率和超额业绩报酬收取方式及比例，</w:t>
      </w:r>
      <w:r>
        <w:rPr>
          <w:rFonts w:hint="eastAsia" w:ascii="楷体" w:hAnsi="楷体" w:eastAsia="楷体" w:cs="Times New Roman"/>
          <w:color w:val="auto"/>
          <w:kern w:val="2"/>
          <w:sz w:val="21"/>
          <w:szCs w:val="21"/>
          <w:lang w:val="en-US" w:eastAsia="zh-CN" w:bidi="ar-SA"/>
        </w:rPr>
        <w:t>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若本理财产品投资者未在约定的时间内赎回本产品，则视为本理财产品投资者接受相关调整且同意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pPr>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的订立、生效、履行、解释、修改和终止等事项均适用中华人民共和国（为本合同目的，不包括香港特别行政区、澳门特别行政区和台湾地区）法律。</w:t>
      </w:r>
      <w:r>
        <w:rPr>
          <w:rFonts w:hint="eastAsia" w:ascii="楷体" w:hAnsi="楷体" w:eastAsia="楷体"/>
          <w:b w:val="0"/>
          <w:bCs w:val="0"/>
          <w:color w:val="auto"/>
          <w:sz w:val="21"/>
          <w:szCs w:val="21"/>
          <w:lang w:val="en-US" w:eastAsia="zh-CN"/>
        </w:rPr>
        <w:t>因本产品说明书</w:t>
      </w:r>
      <w:r>
        <w:rPr>
          <w:rFonts w:hint="eastAsia" w:ascii="楷体" w:hAnsi="楷体" w:eastAsia="楷体"/>
          <w:b w:val="0"/>
          <w:bCs w:val="0"/>
          <w:color w:val="auto"/>
          <w:sz w:val="21"/>
          <w:szCs w:val="21"/>
        </w:rPr>
        <w:t>引起的或与</w:t>
      </w:r>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有关的任何争议，应当首先通过双方之间的友好协商解决；协商不成的，双方均有权提交产品管理人住所地有管辖权的人民法院诉讼解决。</w:t>
      </w:r>
      <w:bookmarkEnd w:id="0"/>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C0E"/>
    <w:multiLevelType w:val="multilevel"/>
    <w:tmpl w:val="AE4D0C0E"/>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D7C62DE"/>
    <w:multiLevelType w:val="multilevel"/>
    <w:tmpl w:val="CD7C62DE"/>
    <w:lvl w:ilvl="0" w:tentative="0">
      <w:start w:val="1"/>
      <w:numFmt w:val="chineseCounting"/>
      <w:suff w:val="nothing"/>
      <w:lvlText w:val="(%1)"/>
      <w:lvlJc w:val="left"/>
      <w:pPr>
        <w:tabs>
          <w:tab w:val="left" w:pos="420"/>
        </w:tabs>
        <w:ind w:left="420" w:hanging="420"/>
      </w:pPr>
      <w:rPr>
        <w:rFonts w:hint="eastAsia" w:ascii="宋体" w:hAnsi="宋体" w:eastAsia="楷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443B38F"/>
    <w:multiLevelType w:val="multilevel"/>
    <w:tmpl w:val="0443B38F"/>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8999D"/>
    <w:multiLevelType w:val="singleLevel"/>
    <w:tmpl w:val="3708999D"/>
    <w:lvl w:ilvl="0" w:tentative="0">
      <w:start w:val="1"/>
      <w:numFmt w:val="decimalEnclosedCircleChinese"/>
      <w:suff w:val="nothing"/>
      <w:lvlText w:val="%1　"/>
      <w:lvlJc w:val="left"/>
      <w:pPr>
        <w:ind w:left="0" w:firstLine="400"/>
      </w:pPr>
      <w:rPr>
        <w:rFonts w:hint="eastAsia"/>
        <w:b w:val="0"/>
        <w:bCs w:val="0"/>
      </w:rPr>
    </w:lvl>
  </w:abstractNum>
  <w:abstractNum w:abstractNumId="8">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F03779"/>
    <w:multiLevelType w:val="singleLevel"/>
    <w:tmpl w:val="4FF03779"/>
    <w:lvl w:ilvl="0" w:tentative="0">
      <w:start w:val="1"/>
      <w:numFmt w:val="decimal"/>
      <w:suff w:val="nothing"/>
      <w:lvlText w:val="%1."/>
      <w:lvlJc w:val="left"/>
      <w:pPr>
        <w:tabs>
          <w:tab w:val="left" w:pos="0"/>
        </w:tabs>
        <w:ind w:left="0" w:firstLine="0"/>
      </w:pPr>
      <w:rPr>
        <w:rFonts w:hint="default"/>
      </w:r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3"/>
  </w:num>
  <w:num w:numId="6">
    <w:abstractNumId w:val="14"/>
  </w:num>
  <w:num w:numId="7">
    <w:abstractNumId w:val="10"/>
  </w:num>
  <w:num w:numId="8">
    <w:abstractNumId w:val="9"/>
  </w:num>
  <w:num w:numId="9">
    <w:abstractNumId w:val="12"/>
  </w:num>
  <w:num w:numId="10">
    <w:abstractNumId w:val="15"/>
  </w:num>
  <w:num w:numId="11">
    <w:abstractNumId w:val="6"/>
  </w:num>
  <w:num w:numId="12">
    <w:abstractNumId w:val="5"/>
  </w:num>
  <w:num w:numId="13">
    <w:abstractNumId w:val="11"/>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AD79F1"/>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C5739"/>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5D593F"/>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8A7880"/>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AC3211"/>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A20B2"/>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13638</Words>
  <Characters>14570</Characters>
  <Lines>243</Lines>
  <Paragraphs>68</Paragraphs>
  <TotalTime>3</TotalTime>
  <ScaleCrop>false</ScaleCrop>
  <LinksUpToDate>false</LinksUpToDate>
  <CharactersWithSpaces>14580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2025-08-28T01:51:59Z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