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恒源1年定开26期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1"/>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1"/>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恒源1年定开26期</w:t>
      </w:r>
      <w:r>
        <w:rPr>
          <w:rFonts w:hint="eastAsia" w:ascii="楷体" w:hAnsi="楷体" w:eastAsia="楷体"/>
          <w:sz w:val="21"/>
          <w:szCs w:val="21"/>
          <w:highlight w:val="none"/>
        </w:rPr>
        <w:t>”理财产品风险揭示书》的“风险揭示”部分。</w:t>
      </w:r>
    </w:p>
    <w:p>
      <w:pPr>
        <w:numPr>
          <w:ilvl w:val="0"/>
          <w:numId w:val="1"/>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1"/>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2"/>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34"/>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恒源1年定开26期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Z7003122000104，</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7"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rPr>
                    <w:t>A</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J0</w:t>
                  </w:r>
                  <w:r>
                    <w:rPr>
                      <w:rFonts w:hint="eastAsia" w:ascii="楷体" w:hAnsi="楷体" w:eastAsia="楷体" w:cs="宋体"/>
                      <w:spacing w:val="-2"/>
                      <w:sz w:val="18"/>
                      <w:szCs w:val="18"/>
                      <w:highlight w:val="none"/>
                      <w:lang w:val="en-US" w:eastAsia="zh-CN"/>
                    </w:rPr>
                    <w:t>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rPr>
                    <w:t>B</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J0</w:t>
                  </w:r>
                  <w:r>
                    <w:rPr>
                      <w:rFonts w:hint="eastAsia" w:ascii="楷体" w:hAnsi="楷体" w:eastAsia="楷体" w:cs="宋体"/>
                      <w:spacing w:val="-2"/>
                      <w:sz w:val="18"/>
                      <w:szCs w:val="18"/>
                      <w:highlight w:val="none"/>
                      <w:lang w:val="en-US" w:eastAsia="zh-CN"/>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C</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J07523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D</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F</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G</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J</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J07524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ZA（自动赎回）</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J02600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J07527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恒源1年定开26期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J07528</w:t>
                  </w:r>
                </w:p>
              </w:tc>
            </w:tr>
          </w:tbl>
          <w:p>
            <w:pPr>
              <w:pStyle w:val="34"/>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insoku w:val="0"/>
              <w:overflowPunct w:val="0"/>
              <w:spacing w:before="12"/>
              <w:ind w:left="59"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w:t>
            </w:r>
            <w:r>
              <w:rPr>
                <w:rFonts w:hint="eastAsia" w:ascii="楷体" w:hAnsi="楷体" w:eastAsia="楷体" w:cs="宋体"/>
                <w:spacing w:val="-2"/>
                <w:sz w:val="18"/>
                <w:szCs w:val="18"/>
                <w:highlight w:val="none"/>
                <w:vertAlign w:val="baseline"/>
                <w:lang w:eastAsia="zh-CN"/>
              </w:rPr>
              <w:t>机构投资者具体以销售机构设置为准。</w:t>
            </w:r>
          </w:p>
          <w:p>
            <w:pPr>
              <w:pStyle w:val="34"/>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lang w:val="en-US" w:eastAsia="zh-CN"/>
              </w:rPr>
              <w:t>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34"/>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34"/>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34"/>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sz w:val="18"/>
                      <w:szCs w:val="18"/>
                      <w:lang w:val="en-US" w:eastAsia="zh-CN"/>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1866" w:type="dxa"/>
            <w:noWrap w:val="0"/>
            <w:vAlign w:val="center"/>
          </w:tcPr>
          <w:p>
            <w:pPr>
              <w:pStyle w:val="34"/>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eastAsia="zh-CN"/>
              </w:rPr>
              <w:t>2022年8月19日9:00至2022年8月25日17:00。</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2022年8月26日</w:t>
            </w:r>
          </w:p>
          <w:p>
            <w:pPr>
              <w:pStyle w:val="34"/>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2032年8月31日（如遇节假日，顺延至下一工作日）</w:t>
            </w:r>
          </w:p>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C份额、D份额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F份额、G份额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J份额、P份额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34"/>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2025年9月3日至2025年9月11日</w:t>
            </w:r>
          </w:p>
          <w:p>
            <w:pPr>
              <w:pStyle w:val="34"/>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34"/>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34"/>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34"/>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lang w:val="en-US" w:eastAsia="zh-CN"/>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2022年8月26日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lang w:eastAsia="zh-CN"/>
                    </w:rPr>
                    <w:t>2023年8月29日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highlight w:val="none"/>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cs="宋体"/>
                      <w:spacing w:val="-2"/>
                      <w:sz w:val="18"/>
                      <w:szCs w:val="18"/>
                      <w:lang w:val="en-US" w:eastAsia="zh-CN"/>
                    </w:rPr>
                    <w:t>2023年8月30日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val="en-US" w:eastAsia="zh-CN"/>
                    </w:rPr>
                    <w:t>2024年9月3日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B份额3.73%-4.13%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D份额3.85%-4.25%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ZF份额3.70%-4.10%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2024年9月4日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2025年9月11日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9</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12</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10</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19</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bl>
          <w:p>
            <w:pPr>
              <w:numPr>
                <w:ilvl w:val="0"/>
                <w:numId w:val="3"/>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D份额：上海银行股份有限公司/江苏银行股份有限公司/江苏江阴农村商业银行股份有限公司/江苏南通农村商业银行股份有限公司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日照银行股份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浙江衢州衢江农村商业银行股份有限公司/宁波通商银行股份有限公司/浙江永嘉农村商业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Q份额：上海浦东发展银行股份有限公司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S份额：上海浦东发展银行股份有限公司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浦江农村商业银行股份有限公司/浙江衢州柯城农村商业银行股份有限公司/浙江青田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5"/>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6"/>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8"/>
        </w:numPr>
        <w:ind w:firstLine="420" w:firstLineChars="200"/>
        <w:rPr>
          <w:rFonts w:hint="eastAsia" w:ascii="楷体" w:hAnsi="楷体" w:eastAsia="楷体"/>
          <w:color w:val="auto"/>
          <w:sz w:val="21"/>
          <w:szCs w:val="21"/>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rPr>
        <w:t>非标准化债权类资产：融资人为台州市路桥区社会事业发展集团有限公司。融资人经营正常，是依法设立的国有公司，主要股东为台州市路桥公共资产投资管理集团有限公司，实际控制人为台州市路桥国有资产工作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非标准化债权类资产：融资人为杭州富阳城市建设投资集团有限公司。融资人经营正常，是依法设立的国有公司，主要股东为杭州市富阳区人民政府国有资产监督管理办公室，实际控制人为杭州市富阳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5）</w:t>
      </w:r>
      <w:r>
        <w:rPr>
          <w:rFonts w:hint="eastAsia" w:ascii="楷体" w:hAnsi="楷体" w:eastAsia="楷体"/>
          <w:color w:val="auto"/>
          <w:sz w:val="21"/>
          <w:szCs w:val="21"/>
        </w:rPr>
        <w:t>非标准化债权类资产：融资人为扬州新材料国资控股集团有限公司。融资人经营正常，是依法设立的国有公司，主要股东为扬州市兴仪投资控股集团有限公司、仪征市扬子文旅控股集团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非标准化债权类资产：融资人为淮安市城市发展投资控股集团有限公司。融资人经营正常，是依法设立的国有公司，主要股东为淮安市人民政府，实际控制人为淮安市人民政府。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7）</w:t>
      </w:r>
      <w:r>
        <w:rPr>
          <w:rFonts w:hint="eastAsia" w:ascii="楷体" w:hAnsi="楷体" w:eastAsia="楷体"/>
          <w:color w:val="auto"/>
          <w:sz w:val="21"/>
          <w:szCs w:val="21"/>
        </w:rPr>
        <w:t>非标准化债权类资产：融资人为盐城市水务集团有限公司。融资人经营正常，是依法设立的国有公司，主要股东为盐城市市政公用投资有限公司，实际控制人为盐城市人民政府。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8）</w:t>
      </w:r>
      <w:r>
        <w:rPr>
          <w:rFonts w:hint="eastAsia" w:ascii="楷体" w:hAnsi="楷体" w:eastAsia="楷体"/>
          <w:color w:val="auto"/>
          <w:sz w:val="21"/>
          <w:szCs w:val="21"/>
        </w:rPr>
        <w:t>非标准化债权类资产：融资人为江苏开晟产业发展集团有限公司。融资人经营正常，是依法设立的国有公司，主要股东为海安经济技术开发区管理委员会，实际控制人为海安经济技术开发区管理委员会。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9）</w:t>
      </w:r>
      <w:r>
        <w:rPr>
          <w:rFonts w:hint="eastAsia" w:ascii="楷体" w:hAnsi="楷体" w:eastAsia="楷体"/>
          <w:color w:val="auto"/>
          <w:sz w:val="21"/>
          <w:szCs w:val="21"/>
        </w:rPr>
        <w:t>非标准化债权类资产：融资人为富皋万泰集团有限公司。融资人经营正常，是依法设立的国有公司，主要股东为如皋市人民政府，实际控制人为如皋市人民政府。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10）</w:t>
      </w:r>
      <w:r>
        <w:rPr>
          <w:rFonts w:hint="eastAsia" w:ascii="楷体" w:hAnsi="楷体" w:eastAsia="楷体"/>
          <w:color w:val="auto"/>
          <w:sz w:val="21"/>
          <w:szCs w:val="21"/>
        </w:rPr>
        <w:t>非标准化债权类资产：融资人为南通国有资产投资控股有限公司。融资人经营正常，是依法设立的国有公司，主要股东为南通城市建设集团有限公司，实际控制人为南通市人民政府国有资产监督管理委员会。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11）</w:t>
      </w:r>
      <w:r>
        <w:rPr>
          <w:rFonts w:hint="eastAsia" w:ascii="楷体" w:hAnsi="楷体" w:eastAsia="楷体"/>
          <w:color w:val="auto"/>
          <w:sz w:val="21"/>
          <w:szCs w:val="21"/>
        </w:rPr>
        <w:t>非标准化债权类资产：融资人为徐州高新控股集团有限公司。融资人经营正常，是依法设立的国有公司，主要股东为徐州市人民政府国有资产监督管理委员会，实际控制人为徐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12）</w:t>
      </w:r>
      <w:r>
        <w:rPr>
          <w:rFonts w:hint="eastAsia" w:ascii="楷体" w:hAnsi="楷体" w:eastAsia="楷体"/>
          <w:color w:val="auto"/>
          <w:sz w:val="21"/>
          <w:szCs w:val="21"/>
        </w:rPr>
        <w:t>非标准化债权类资产：融资人为湖州经开投资发展集团有限公司。融资人经营正常，是依法设立的国有公司，主要股东为湖州南太湖国有控股集团有限公司，实际控制人为湖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13）</w:t>
      </w:r>
      <w:r>
        <w:rPr>
          <w:rFonts w:hint="eastAsia" w:ascii="楷体" w:hAnsi="楷体" w:eastAsia="楷体"/>
          <w:color w:val="auto"/>
          <w:sz w:val="21"/>
          <w:szCs w:val="21"/>
        </w:rPr>
        <w:t>非标准化债权类资产：融资人为慈溪市国有资产投资控股有限公司。融资人经营正常，是依法设立的国有公司，主要股东为慈溪市国有资本投资运营集团有限公司、慈溪市国有资产管理中心、浙江省财开集团有限公司，实际控制人为慈溪市国有资产管理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14）</w:t>
      </w:r>
      <w:r>
        <w:rPr>
          <w:rFonts w:hint="eastAsia" w:ascii="楷体" w:hAnsi="楷体" w:eastAsia="楷体"/>
          <w:color w:val="auto"/>
          <w:sz w:val="21"/>
          <w:szCs w:val="21"/>
        </w:rPr>
        <w:t>非标准化债权类资产：融资人为无锡锡东新城城市发展集团有限公司。融资人经营正常，是依法设立的国有公司，主要股东为无锡市锡东新城商务区开发建设管理中心，实际控制人为无锡锡东新城商务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15）</w:t>
      </w:r>
      <w:r>
        <w:rPr>
          <w:rFonts w:hint="eastAsia" w:ascii="楷体" w:hAnsi="楷体" w:eastAsia="楷体"/>
          <w:color w:val="auto"/>
          <w:sz w:val="21"/>
          <w:szCs w:val="21"/>
        </w:rPr>
        <w:t>非标准化债权类资产：融资人为扬州市邗江国有资产经营有限公司。融资人经营正常，是依法设立的国有公司，主要股东为扬州市邗江城市建设发展有限公司，扬州市正本溯源建设发展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rPr>
        <w:t>非标准化债权类资产：融资人为无锡市梁溪产业发展集团有限公司。融资人经营正常，是依法设立的国有公司，主要股东为无锡市梁溪区人民政府国有资产监督管理办公室、无锡市梁溪城市运营服务集团有限公司，实际控制人为无锡市梁溪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17）</w:t>
      </w:r>
      <w:r>
        <w:rPr>
          <w:rFonts w:hint="eastAsia" w:ascii="楷体" w:hAnsi="楷体" w:eastAsia="楷体"/>
          <w:color w:val="auto"/>
          <w:sz w:val="21"/>
          <w:szCs w:val="21"/>
        </w:rPr>
        <w:t>非标准化债权类资产：融资人为湖州吴兴城市投资发展集团有限公司。融资人经营正常，是依法设立的国有公司，主要股东为湖州吴兴国控投资运营发展集团有限公司，实际控制人为湖州市吴兴区财政局。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rPr>
        <w:t>非标准化债权类资产：融资人为宁波前湾控股集团有限公司。融资人经营正常，是依法设立的国有公司，主要股东为宁波前湾新区管理委员会(中意宁波生态园管理委员会、宁波杭州湾经济技术开发区管理委员会、宁波前湾综合保税区管理委员会)，实际控制人为宁波前湾新区管理委员会(中意宁波生态园管理委员会、宁波杭州湾经济技术开发区管理委员会、宁波前湾综合保税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rPr>
        <w:t>非标准化债权类资产：融资人为江苏钟吾城乡投资发展集团有限公司。融资人经营正常，是依法设立的国有公司，主要股东为徐州市人民政府，实际控制人为徐州市人民政府。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非标准化债权类资产：融资人为台州市黄岩国有资本投资运营集团有限公司。融资人经营正常，是依法设立的国有公司，主要股东为台州市黄岩区财政局，实际控制人为台州市黄岩区财政局。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21）</w:t>
      </w:r>
      <w:r>
        <w:rPr>
          <w:rFonts w:hint="eastAsia" w:ascii="楷体" w:hAnsi="楷体" w:eastAsia="楷体"/>
          <w:color w:val="auto"/>
          <w:sz w:val="21"/>
          <w:szCs w:val="21"/>
        </w:rPr>
        <w:t>非标准化债权类资产：融资人为江苏淮阴城市产业投资集团有限公司。融资人经营正常，是依法设立的国有公司，主要股东为淮安国控投资集团有限公司，实际控制人为淮安市人民政府。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rPr>
        <w:t>非标准化债权类资产：融资人为无锡惠山高科集团有限公司。融资人经营正常，是依法设立的国有公司，主要股东为无锡惠山高科产业控股有限公司，实际控制人为无锡惠山经济开发区国有资产管理办公室。</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7"/>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default" w:ascii="Calibri" w:hAnsi="Calibri" w:eastAsia="楷体" w:cs="Calibri"/>
          <w:b w:val="0"/>
          <w:bCs w:val="0"/>
          <w:sz w:val="21"/>
          <w:szCs w:val="21"/>
        </w:rPr>
        <w:t>苏豪</w:t>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苏豪弘业期货股份有限公司（简称弘业期货）成立于1995年，注册资本1,007,777,778元人民币，隶属于江苏省国资委全资拥有的国有企业江苏省苏豪控股集团有限公司。公司经营范围涵盖商品期货经纪、金融期货经纪、期货投资咨询、资产管理、基金销售业务。在北、上、广等国内主要金融中心和重点城市设立35家分支机构，数量位居全国前列，并在行业内率先建立国家级博士后工作站。</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2"/>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2"/>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2"/>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p>
    <w:p>
      <w:pPr>
        <w:numPr>
          <w:ilvl w:val="0"/>
          <w:numId w:val="13"/>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w:t>
      </w:r>
      <w:bookmarkStart w:id="0" w:name="_GoBack"/>
      <w:bookmarkEnd w:id="0"/>
      <w:r>
        <w:rPr>
          <w:rFonts w:hint="eastAsia" w:ascii="楷体" w:hAnsi="楷体" w:eastAsia="楷体" w:cs="Calibri"/>
          <w:color w:val="auto"/>
          <w:sz w:val="21"/>
          <w:szCs w:val="21"/>
          <w:lang w:eastAsia="zh-CN"/>
        </w:rPr>
        <w:t>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2"/>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0"/>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sectPr>
      <w:headerReference r:id="rId5" w:type="first"/>
      <w:headerReference r:id="rId3" w:type="default"/>
      <w:footerReference r:id="rId6" w:type="default"/>
      <w:headerReference r:id="rId4" w:type="even"/>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drawing>
        <wp:anchor distT="0" distB="0" distL="114300" distR="114300" simplePos="0" relativeHeight="251663360" behindDoc="0" locked="0" layoutInCell="1" allowOverlap="1">
          <wp:simplePos x="0" y="0"/>
          <wp:positionH relativeFrom="column">
            <wp:posOffset>4992370</wp:posOffset>
          </wp:positionH>
          <wp:positionV relativeFrom="paragraph">
            <wp:posOffset>-124460</wp:posOffset>
          </wp:positionV>
          <wp:extent cx="1325245" cy="424815"/>
          <wp:effectExtent l="0" t="0" r="8255" b="3810"/>
          <wp:wrapSquare wrapText="bothSides"/>
          <wp:docPr id="1"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JSYH\Desktop\苏银理财.png"/>
                  <pic:cNvPicPr>
                    <a:picLocks noChangeAspect="1"/>
                  </pic:cNvPicPr>
                </pic:nvPicPr>
                <pic:blipFill>
                  <a:blip r:embed="rId1"/>
                  <a:stretch>
                    <a:fillRect/>
                  </a:stretch>
                </pic:blipFill>
                <pic:spPr>
                  <a:xfrm>
                    <a:off x="0" y="0"/>
                    <a:ext cx="1325245" cy="42481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4942840</wp:posOffset>
          </wp:positionH>
          <wp:positionV relativeFrom="paragraph">
            <wp:posOffset>-90170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1"/>
                  <a:stretch>
                    <a:fillRect/>
                  </a:stretch>
                </pic:blipFill>
                <pic:spPr>
                  <a:xfrm>
                    <a:off x="0" y="0"/>
                    <a:ext cx="1325245" cy="424815"/>
                  </a:xfrm>
                  <a:prstGeom prst="rect">
                    <a:avLst/>
                  </a:prstGeom>
                  <a:noFill/>
                  <a:ln>
                    <a:noFill/>
                  </a:ln>
                </pic:spPr>
              </pic:pic>
            </a:graphicData>
          </a:graphic>
        </wp:anchor>
      </w:drawing>
    </w: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2">
                    <a:lum bright="70001" contrast="-70000"/>
                  </a:blip>
                  <a:stretch>
                    <a:fillRect/>
                  </a:stretch>
                </pic:blipFill>
                <pic:spPr>
                  <a:xfrm>
                    <a:off x="0" y="0"/>
                    <a:ext cx="14444345" cy="1095819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541B78"/>
    <w:multiLevelType w:val="singleLevel"/>
    <w:tmpl w:val="78541B78"/>
    <w:lvl w:ilvl="0" w:tentative="0">
      <w:start w:val="1"/>
      <w:numFmt w:val="decimal"/>
      <w:suff w:val="nothing"/>
      <w:lvlText w:val="（%1）"/>
      <w:lvlJc w:val="left"/>
    </w:lvl>
  </w:abstractNum>
  <w:abstractNum w:abstractNumId="19">
    <w:nsid w:val="790DC278"/>
    <w:multiLevelType w:val="singleLevel"/>
    <w:tmpl w:val="790DC278"/>
    <w:lvl w:ilvl="0" w:tentative="0">
      <w:start w:val="2"/>
      <w:numFmt w:val="decimal"/>
      <w:lvlText w:val="%1."/>
      <w:lvlJc w:val="left"/>
      <w:pPr>
        <w:tabs>
          <w:tab w:val="left" w:pos="312"/>
        </w:tabs>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9"/>
  </w:num>
  <w:num w:numId="4">
    <w:abstractNumId w:val="14"/>
  </w:num>
  <w:num w:numId="5">
    <w:abstractNumId w:val="15"/>
  </w:num>
  <w:num w:numId="6">
    <w:abstractNumId w:val="5"/>
  </w:num>
  <w:num w:numId="7">
    <w:abstractNumId w:val="17"/>
  </w:num>
  <w:num w:numId="8">
    <w:abstractNumId w:val="18"/>
  </w:num>
  <w:num w:numId="9">
    <w:abstractNumId w:val="13"/>
  </w:num>
  <w:num w:numId="10">
    <w:abstractNumId w:val="9"/>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2"/>
  </w:num>
  <w:num w:numId="18">
    <w:abstractNumId w:val="11"/>
  </w:num>
  <w:num w:numId="19">
    <w:abstractNumId w:val="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6353"/>
    <w:rsid w:val="00061CBB"/>
    <w:rsid w:val="00276FCD"/>
    <w:rsid w:val="00B73039"/>
    <w:rsid w:val="01C11F94"/>
    <w:rsid w:val="01DC00D2"/>
    <w:rsid w:val="02394C4E"/>
    <w:rsid w:val="035C69CA"/>
    <w:rsid w:val="05120775"/>
    <w:rsid w:val="052D480C"/>
    <w:rsid w:val="05741815"/>
    <w:rsid w:val="05C22B02"/>
    <w:rsid w:val="06A93A70"/>
    <w:rsid w:val="08494B4C"/>
    <w:rsid w:val="087E378B"/>
    <w:rsid w:val="08C87576"/>
    <w:rsid w:val="0AA20035"/>
    <w:rsid w:val="0B7873E7"/>
    <w:rsid w:val="0D460355"/>
    <w:rsid w:val="0DC578C3"/>
    <w:rsid w:val="0DDD75CE"/>
    <w:rsid w:val="0DE45E8B"/>
    <w:rsid w:val="0F2D7FC5"/>
    <w:rsid w:val="0FA551A3"/>
    <w:rsid w:val="0FD41768"/>
    <w:rsid w:val="119672A7"/>
    <w:rsid w:val="11C449B6"/>
    <w:rsid w:val="12136ABA"/>
    <w:rsid w:val="12176F28"/>
    <w:rsid w:val="12627D38"/>
    <w:rsid w:val="132C05F4"/>
    <w:rsid w:val="133603BC"/>
    <w:rsid w:val="14EA3140"/>
    <w:rsid w:val="15007097"/>
    <w:rsid w:val="15C23F41"/>
    <w:rsid w:val="18766114"/>
    <w:rsid w:val="18B5181D"/>
    <w:rsid w:val="19DA1846"/>
    <w:rsid w:val="19DF46F8"/>
    <w:rsid w:val="19E8300C"/>
    <w:rsid w:val="1A74679E"/>
    <w:rsid w:val="1B2B7A2C"/>
    <w:rsid w:val="1BB6506B"/>
    <w:rsid w:val="1C122A70"/>
    <w:rsid w:val="1C1B3B29"/>
    <w:rsid w:val="1FBB7F9F"/>
    <w:rsid w:val="1FF61A15"/>
    <w:rsid w:val="2059695C"/>
    <w:rsid w:val="20862AD5"/>
    <w:rsid w:val="208D0A85"/>
    <w:rsid w:val="20D359FB"/>
    <w:rsid w:val="21361C5E"/>
    <w:rsid w:val="215A5298"/>
    <w:rsid w:val="216C322D"/>
    <w:rsid w:val="21893A13"/>
    <w:rsid w:val="22DC376E"/>
    <w:rsid w:val="26E90667"/>
    <w:rsid w:val="272D4E16"/>
    <w:rsid w:val="274A0B5C"/>
    <w:rsid w:val="276B63B5"/>
    <w:rsid w:val="27B87264"/>
    <w:rsid w:val="27FA7E2E"/>
    <w:rsid w:val="28427D32"/>
    <w:rsid w:val="28F60FCD"/>
    <w:rsid w:val="29855A2C"/>
    <w:rsid w:val="298A3CAE"/>
    <w:rsid w:val="2ADA6AE2"/>
    <w:rsid w:val="2B221E6C"/>
    <w:rsid w:val="2B3631F4"/>
    <w:rsid w:val="2B797161"/>
    <w:rsid w:val="2CE341B5"/>
    <w:rsid w:val="2E9559D9"/>
    <w:rsid w:val="2F3015A3"/>
    <w:rsid w:val="30F231D2"/>
    <w:rsid w:val="31097378"/>
    <w:rsid w:val="311D7D22"/>
    <w:rsid w:val="31376781"/>
    <w:rsid w:val="32035262"/>
    <w:rsid w:val="32544E43"/>
    <w:rsid w:val="325767A5"/>
    <w:rsid w:val="331B4ED5"/>
    <w:rsid w:val="33C259F7"/>
    <w:rsid w:val="34C51A78"/>
    <w:rsid w:val="34E0563C"/>
    <w:rsid w:val="35F40894"/>
    <w:rsid w:val="37396667"/>
    <w:rsid w:val="375223CF"/>
    <w:rsid w:val="375F35B5"/>
    <w:rsid w:val="37F6376B"/>
    <w:rsid w:val="38005C99"/>
    <w:rsid w:val="3806789C"/>
    <w:rsid w:val="398C207A"/>
    <w:rsid w:val="399F1ACD"/>
    <w:rsid w:val="3B316DAA"/>
    <w:rsid w:val="3DC06319"/>
    <w:rsid w:val="3FBD5D22"/>
    <w:rsid w:val="3FED70CF"/>
    <w:rsid w:val="3FFF7279"/>
    <w:rsid w:val="40245373"/>
    <w:rsid w:val="407A2131"/>
    <w:rsid w:val="40BB01C3"/>
    <w:rsid w:val="40E74809"/>
    <w:rsid w:val="4125361C"/>
    <w:rsid w:val="427B00CF"/>
    <w:rsid w:val="43076EE2"/>
    <w:rsid w:val="43A60B8B"/>
    <w:rsid w:val="43CA7AC6"/>
    <w:rsid w:val="44255F9B"/>
    <w:rsid w:val="44A14314"/>
    <w:rsid w:val="456926CF"/>
    <w:rsid w:val="45A31E9F"/>
    <w:rsid w:val="45D90EDA"/>
    <w:rsid w:val="46F648FA"/>
    <w:rsid w:val="48683357"/>
    <w:rsid w:val="49287F12"/>
    <w:rsid w:val="49582C60"/>
    <w:rsid w:val="495D6DB6"/>
    <w:rsid w:val="4C4F3FC2"/>
    <w:rsid w:val="4D077EEE"/>
    <w:rsid w:val="4D0E0101"/>
    <w:rsid w:val="4DBC05B9"/>
    <w:rsid w:val="4F833B49"/>
    <w:rsid w:val="50AC6DEA"/>
    <w:rsid w:val="511F6784"/>
    <w:rsid w:val="514805FC"/>
    <w:rsid w:val="5219373E"/>
    <w:rsid w:val="524C0A95"/>
    <w:rsid w:val="52F50359"/>
    <w:rsid w:val="562A01DD"/>
    <w:rsid w:val="566B4A32"/>
    <w:rsid w:val="567B0CCA"/>
    <w:rsid w:val="56CA5659"/>
    <w:rsid w:val="575431DF"/>
    <w:rsid w:val="576079D6"/>
    <w:rsid w:val="581A432A"/>
    <w:rsid w:val="59205884"/>
    <w:rsid w:val="598A3524"/>
    <w:rsid w:val="5A093EC3"/>
    <w:rsid w:val="5AA94CCB"/>
    <w:rsid w:val="5AE617EC"/>
    <w:rsid w:val="5C7662C6"/>
    <w:rsid w:val="5C882FDD"/>
    <w:rsid w:val="5CB22E1D"/>
    <w:rsid w:val="5D2C6491"/>
    <w:rsid w:val="5EB35D09"/>
    <w:rsid w:val="5F20411D"/>
    <w:rsid w:val="60B91793"/>
    <w:rsid w:val="60CC4D75"/>
    <w:rsid w:val="60E67AA7"/>
    <w:rsid w:val="619E0AB7"/>
    <w:rsid w:val="61B16453"/>
    <w:rsid w:val="627E6257"/>
    <w:rsid w:val="630832B1"/>
    <w:rsid w:val="63DD04FD"/>
    <w:rsid w:val="63F6448F"/>
    <w:rsid w:val="64133A3F"/>
    <w:rsid w:val="643E4883"/>
    <w:rsid w:val="64E02039"/>
    <w:rsid w:val="655A3D56"/>
    <w:rsid w:val="65A137B1"/>
    <w:rsid w:val="65CD5630"/>
    <w:rsid w:val="65FC7340"/>
    <w:rsid w:val="66A717F9"/>
    <w:rsid w:val="66A9578C"/>
    <w:rsid w:val="66E50D80"/>
    <w:rsid w:val="67057615"/>
    <w:rsid w:val="670F02C0"/>
    <w:rsid w:val="67AA451F"/>
    <w:rsid w:val="67FA4DDD"/>
    <w:rsid w:val="68340A60"/>
    <w:rsid w:val="685657A1"/>
    <w:rsid w:val="688556A7"/>
    <w:rsid w:val="6895189D"/>
    <w:rsid w:val="69473E9F"/>
    <w:rsid w:val="69AC4F69"/>
    <w:rsid w:val="69D72936"/>
    <w:rsid w:val="6A6F11CC"/>
    <w:rsid w:val="6B7460C1"/>
    <w:rsid w:val="6C035B7A"/>
    <w:rsid w:val="6C303D8F"/>
    <w:rsid w:val="6C56268E"/>
    <w:rsid w:val="6D9A555F"/>
    <w:rsid w:val="6E046353"/>
    <w:rsid w:val="6E3034D4"/>
    <w:rsid w:val="6E430F2A"/>
    <w:rsid w:val="6F5161E8"/>
    <w:rsid w:val="6FF51B3B"/>
    <w:rsid w:val="6FFC72C8"/>
    <w:rsid w:val="709561C1"/>
    <w:rsid w:val="709642CC"/>
    <w:rsid w:val="70F85622"/>
    <w:rsid w:val="717E0546"/>
    <w:rsid w:val="719B567C"/>
    <w:rsid w:val="720600BC"/>
    <w:rsid w:val="728C7F4A"/>
    <w:rsid w:val="72CE224D"/>
    <w:rsid w:val="72E91E80"/>
    <w:rsid w:val="7684397E"/>
    <w:rsid w:val="781D7834"/>
    <w:rsid w:val="782352CE"/>
    <w:rsid w:val="785E0C86"/>
    <w:rsid w:val="786A5D9D"/>
    <w:rsid w:val="787F629A"/>
    <w:rsid w:val="78DC7260"/>
    <w:rsid w:val="7900411B"/>
    <w:rsid w:val="790D0E29"/>
    <w:rsid w:val="79395171"/>
    <w:rsid w:val="79B85C40"/>
    <w:rsid w:val="7A385137"/>
    <w:rsid w:val="7B4A194A"/>
    <w:rsid w:val="7B7E0491"/>
    <w:rsid w:val="7BBF3DB1"/>
    <w:rsid w:val="7D466F15"/>
    <w:rsid w:val="7D805BC0"/>
    <w:rsid w:val="7D9A0522"/>
    <w:rsid w:val="7FD3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4"/>
    <w:unhideWhenUsed/>
    <w:qFormat/>
    <w:uiPriority w:val="99"/>
    <w:pPr>
      <w:ind w:left="100" w:leftChars="2500"/>
    </w:pPr>
  </w:style>
  <w:style w:type="paragraph" w:styleId="8">
    <w:name w:val="Balloon Text"/>
    <w:basedOn w:val="1"/>
    <w:link w:val="45"/>
    <w:unhideWhenUsed/>
    <w:qFormat/>
    <w:uiPriority w:val="99"/>
    <w:rPr>
      <w:kern w:val="0"/>
      <w:sz w:val="18"/>
      <w:szCs w:val="18"/>
    </w:rPr>
  </w:style>
  <w:style w:type="paragraph" w:styleId="9">
    <w:name w:val="footer"/>
    <w:basedOn w:val="1"/>
    <w:link w:val="46"/>
    <w:unhideWhenUsed/>
    <w:qFormat/>
    <w:uiPriority w:val="99"/>
    <w:pPr>
      <w:tabs>
        <w:tab w:val="center" w:pos="4153"/>
        <w:tab w:val="right" w:pos="8306"/>
      </w:tabs>
      <w:snapToGrid w:val="0"/>
      <w:jc w:val="left"/>
    </w:pPr>
    <w:rPr>
      <w:kern w:val="0"/>
      <w:sz w:val="18"/>
      <w:szCs w:val="18"/>
    </w:rPr>
  </w:style>
  <w:style w:type="paragraph" w:styleId="1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正文文本 字符"/>
    <w:link w:val="2"/>
    <w:qFormat/>
    <w:uiPriority w:val="1"/>
    <w:rPr>
      <w:rFonts w:ascii="宋体" w:hAnsi="Times New Roman" w:eastAsia="宋体" w:cs="Times New Roman"/>
      <w:kern w:val="0"/>
      <w:sz w:val="20"/>
      <w:szCs w:val="21"/>
    </w:rPr>
  </w:style>
  <w:style w:type="character" w:customStyle="1" w:styleId="23">
    <w:name w:val="标题 1 字符"/>
    <w:link w:val="3"/>
    <w:qFormat/>
    <w:uiPriority w:val="1"/>
    <w:rPr>
      <w:rFonts w:ascii="黑体" w:hAnsi="Times New Roman" w:eastAsia="黑体" w:cs="Times New Roman"/>
      <w:b/>
      <w:bCs/>
      <w:kern w:val="0"/>
      <w:sz w:val="36"/>
      <w:szCs w:val="36"/>
    </w:rPr>
  </w:style>
  <w:style w:type="character" w:customStyle="1" w:styleId="24">
    <w:name w:val="标题 2 字符"/>
    <w:link w:val="4"/>
    <w:qFormat/>
    <w:uiPriority w:val="9"/>
    <w:rPr>
      <w:rFonts w:ascii="Cambria" w:hAnsi="Cambria" w:eastAsia="宋体" w:cs="Times New Roman"/>
      <w:b/>
      <w:bCs/>
      <w:kern w:val="0"/>
      <w:sz w:val="32"/>
      <w:szCs w:val="32"/>
    </w:rPr>
  </w:style>
  <w:style w:type="character" w:customStyle="1" w:styleId="25">
    <w:name w:val="标题 3 字符"/>
    <w:link w:val="5"/>
    <w:qFormat/>
    <w:uiPriority w:val="1"/>
    <w:rPr>
      <w:rFonts w:ascii="宋体" w:hAnsi="Times New Roman" w:eastAsia="宋体" w:cs="Times New Roman"/>
      <w:b/>
      <w:bCs/>
      <w:kern w:val="0"/>
      <w:sz w:val="20"/>
      <w:szCs w:val="21"/>
    </w:rPr>
  </w:style>
  <w:style w:type="character" w:customStyle="1" w:styleId="26">
    <w:name w:val="批注文字 字符"/>
    <w:link w:val="6"/>
    <w:qFormat/>
    <w:uiPriority w:val="99"/>
    <w:rPr>
      <w:rFonts w:ascii="Times New Roman" w:hAnsi="Times New Roman" w:eastAsia="宋体" w:cs="Times New Roman"/>
    </w:rPr>
  </w:style>
  <w:style w:type="character" w:customStyle="1" w:styleId="27">
    <w:name w:val="日期 字符"/>
    <w:basedOn w:val="17"/>
    <w:link w:val="7"/>
    <w:semiHidden/>
    <w:qFormat/>
    <w:uiPriority w:val="99"/>
    <w:rPr>
      <w:rFonts w:ascii="Times New Roman" w:hAnsi="Times New Roman" w:eastAsia="宋体" w:cs="Times New Roman"/>
    </w:rPr>
  </w:style>
  <w:style w:type="character" w:customStyle="1" w:styleId="28">
    <w:name w:val="批注框文本 字符"/>
    <w:link w:val="8"/>
    <w:semiHidden/>
    <w:qFormat/>
    <w:uiPriority w:val="99"/>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99"/>
    <w:rPr>
      <w:rFonts w:ascii="Times New Roman" w:hAnsi="Times New Roman" w:eastAsia="宋体" w:cs="Times New Roman"/>
      <w:kern w:val="0"/>
      <w:sz w:val="18"/>
      <w:szCs w:val="18"/>
    </w:rPr>
  </w:style>
  <w:style w:type="character" w:customStyle="1" w:styleId="31">
    <w:name w:val="脚注文本 字符1"/>
    <w:link w:val="11"/>
    <w:qFormat/>
    <w:uiPriority w:val="99"/>
    <w:rPr>
      <w:rFonts w:ascii="Times New Roman" w:hAnsi="Times New Roman" w:eastAsia="宋体" w:cs="Times New Roman"/>
      <w:sz w:val="18"/>
      <w:szCs w:val="18"/>
    </w:rPr>
  </w:style>
  <w:style w:type="character" w:customStyle="1" w:styleId="32">
    <w:name w:val="批注主题 字符"/>
    <w:link w:val="14"/>
    <w:semiHidden/>
    <w:qFormat/>
    <w:uiPriority w:val="99"/>
    <w:rPr>
      <w:rFonts w:ascii="Times New Roman" w:hAnsi="Times New Roman" w:eastAsia="宋体" w:cs="Times New Roman"/>
      <w:b/>
      <w:bCs/>
    </w:rPr>
  </w:style>
  <w:style w:type="character" w:customStyle="1" w:styleId="33">
    <w:name w:val="脚注文本 字符"/>
    <w:semiHidden/>
    <w:qFormat/>
    <w:uiPriority w:val="99"/>
    <w:rPr>
      <w:rFonts w:ascii="Times New Roman" w:hAnsi="Times New Roman" w:eastAsia="宋体" w:cs="Times New Roman"/>
      <w:kern w:val="2"/>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35">
    <w:name w:val="List Paragraph"/>
    <w:basedOn w:val="1"/>
    <w:qFormat/>
    <w:uiPriority w:val="72"/>
    <w:pPr>
      <w:ind w:firstLine="420" w:firstLineChars="200"/>
    </w:p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38">
    <w:name w:val="_Style 33"/>
    <w:semiHidden/>
    <w:qFormat/>
    <w:uiPriority w:val="99"/>
    <w:rPr>
      <w:rFonts w:ascii="Times New Roman" w:hAnsi="Times New Roman" w:eastAsia="宋体" w:cs="Times New Roman"/>
      <w:kern w:val="2"/>
      <w:sz w:val="21"/>
      <w:szCs w:val="22"/>
      <w:lang w:val="en-US" w:eastAsia="zh-CN" w:bidi="ar-SA"/>
    </w:rPr>
  </w:style>
  <w:style w:type="character" w:customStyle="1" w:styleId="39">
    <w:name w:val="标题 1 Char"/>
    <w:link w:val="3"/>
    <w:qFormat/>
    <w:uiPriority w:val="1"/>
    <w:rPr>
      <w:rFonts w:ascii="黑体" w:hAnsi="Times New Roman" w:eastAsia="黑体" w:cs="黑体"/>
      <w:b/>
      <w:bCs/>
      <w:kern w:val="0"/>
      <w:sz w:val="36"/>
      <w:szCs w:val="36"/>
    </w:rPr>
  </w:style>
  <w:style w:type="character" w:customStyle="1" w:styleId="40">
    <w:name w:val="标题 2 Char"/>
    <w:link w:val="4"/>
    <w:qFormat/>
    <w:uiPriority w:val="9"/>
    <w:rPr>
      <w:rFonts w:ascii="Cambria" w:hAnsi="Cambria" w:eastAsia="宋体" w:cs="Times New Roman"/>
      <w:b/>
      <w:bCs/>
      <w:sz w:val="32"/>
      <w:szCs w:val="32"/>
    </w:rPr>
  </w:style>
  <w:style w:type="character" w:customStyle="1" w:styleId="41">
    <w:name w:val="标题 3 Char"/>
    <w:link w:val="5"/>
    <w:qFormat/>
    <w:uiPriority w:val="1"/>
    <w:rPr>
      <w:rFonts w:ascii="宋体" w:hAnsi="Times New Roman" w:eastAsia="宋体" w:cs="宋体"/>
      <w:b/>
      <w:bCs/>
      <w:kern w:val="0"/>
      <w:szCs w:val="21"/>
    </w:rPr>
  </w:style>
  <w:style w:type="character" w:customStyle="1" w:styleId="42">
    <w:name w:val="批注文字 Char"/>
    <w:link w:val="6"/>
    <w:qFormat/>
    <w:uiPriority w:val="99"/>
    <w:rPr>
      <w:rFonts w:ascii="Times New Roman" w:hAnsi="Times New Roman" w:eastAsia="宋体" w:cs="Times New Roman"/>
      <w:kern w:val="2"/>
      <w:sz w:val="21"/>
      <w:szCs w:val="22"/>
    </w:rPr>
  </w:style>
  <w:style w:type="character" w:customStyle="1" w:styleId="43">
    <w:name w:val="正文文本 Char"/>
    <w:link w:val="2"/>
    <w:qFormat/>
    <w:uiPriority w:val="1"/>
    <w:rPr>
      <w:rFonts w:ascii="宋体" w:hAnsi="Times New Roman" w:eastAsia="宋体" w:cs="宋体"/>
      <w:kern w:val="0"/>
      <w:szCs w:val="21"/>
    </w:rPr>
  </w:style>
  <w:style w:type="character" w:customStyle="1" w:styleId="44">
    <w:name w:val="日期 Char"/>
    <w:basedOn w:val="17"/>
    <w:link w:val="7"/>
    <w:semiHidden/>
    <w:qFormat/>
    <w:uiPriority w:val="99"/>
    <w:rPr>
      <w:rFonts w:ascii="Times New Roman" w:hAnsi="Times New Roman" w:eastAsia="宋体" w:cs="Times New Roman"/>
    </w:rPr>
  </w:style>
  <w:style w:type="character" w:customStyle="1" w:styleId="45">
    <w:name w:val="批注框文本 Char"/>
    <w:link w:val="8"/>
    <w:semiHidden/>
    <w:qFormat/>
    <w:uiPriority w:val="99"/>
    <w:rPr>
      <w:rFonts w:ascii="Times New Roman" w:hAnsi="Times New Roman" w:eastAsia="宋体" w:cs="Times New Roman"/>
      <w:sz w:val="18"/>
      <w:szCs w:val="18"/>
    </w:rPr>
  </w:style>
  <w:style w:type="character" w:customStyle="1" w:styleId="46">
    <w:name w:val="页脚 Char"/>
    <w:link w:val="9"/>
    <w:qFormat/>
    <w:uiPriority w:val="99"/>
    <w:rPr>
      <w:rFonts w:ascii="Times New Roman" w:hAnsi="Times New Roman" w:eastAsia="宋体" w:cs="Times New Roman"/>
      <w:sz w:val="18"/>
      <w:szCs w:val="18"/>
    </w:rPr>
  </w:style>
  <w:style w:type="character" w:customStyle="1" w:styleId="47">
    <w:name w:val="页眉 Char"/>
    <w:link w:val="10"/>
    <w:qFormat/>
    <w:uiPriority w:val="99"/>
    <w:rPr>
      <w:rFonts w:ascii="Times New Roman" w:hAnsi="Times New Roman" w:eastAsia="宋体" w:cs="Times New Roman"/>
      <w:sz w:val="18"/>
      <w:szCs w:val="18"/>
    </w:rPr>
  </w:style>
  <w:style w:type="character" w:customStyle="1" w:styleId="48">
    <w:name w:val="批注主题 Char"/>
    <w:link w:val="14"/>
    <w:semiHidden/>
    <w:qFormat/>
    <w:uiPriority w:val="99"/>
    <w:rPr>
      <w:rFonts w:ascii="Times New Roman" w:hAnsi="Times New Roman" w:eastAsia="宋体" w:cs="Times New Roman"/>
      <w:b/>
      <w:bCs/>
      <w:kern w:val="2"/>
      <w:sz w:val="21"/>
      <w:szCs w:val="22"/>
    </w:rPr>
  </w:style>
  <w:style w:type="paragraph" w:customStyle="1" w:styleId="49">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21774</Words>
  <Characters>22978</Characters>
  <Lines>37</Lines>
  <Paragraphs>10</Paragraphs>
  <TotalTime>3</TotalTime>
  <ScaleCrop>false</ScaleCrop>
  <LinksUpToDate>false</LinksUpToDate>
  <CharactersWithSpaces>22994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2021-07-01T12:12:00Z</cp:lastPrinted>
  <dcterms:modified xsi:type="dcterms:W3CDTF">2025-08-26T08:36:52Z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57DE483545F742868D80F7217A5BA398</vt:lpwstr>
  </property>
</Properties>
</file>