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丰裕固收25164期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丰裕固收25164期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FYG25164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Z7002225000308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2025年9月2日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126,670.9486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2025年9月3日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