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spacing w:before="0" w:beforeAutospacing="0" w:after="0" w:afterAutospacing="0" w:line="240" w:lineRule="auto"/>
        <w:jc w:val="center"/>
        <w:rPr>
          <w:rFonts w:hint="eastAsia" w:ascii="楷体" w:hAnsi="楷体" w:eastAsia="楷体"/>
          <w:b/>
          <w:color w:val="auto"/>
          <w:sz w:val="28"/>
          <w:szCs w:val="28"/>
          <w:highlight w:val="none"/>
        </w:rPr>
      </w:pPr>
      <w:r>
        <w:rPr>
          <w:rFonts w:hint="eastAsia" w:ascii="楷体" w:hAnsi="楷体" w:eastAsia="楷体"/>
          <w:b/>
          <w:color w:val="auto"/>
          <w:sz w:val="28"/>
          <w:szCs w:val="28"/>
        </w:rPr>
        <w:t>“</w:t>
      </w:r>
      <w:r>
        <w:rPr>
          <w:rFonts w:hint="eastAsia" w:ascii="楷体" w:hAnsi="楷体" w:eastAsia="楷体"/>
          <w:b/>
          <w:color w:val="auto"/>
          <w:sz w:val="28"/>
          <w:szCs w:val="28"/>
          <w:highlight w:val="none"/>
        </w:rPr>
        <w:t>苏银理财</w:t>
      </w:r>
      <w:r>
        <w:rPr>
          <w:rFonts w:hint="eastAsia" w:ascii="楷体" w:hAnsi="楷体" w:eastAsia="楷体"/>
          <w:b/>
          <w:color w:val="auto"/>
          <w:sz w:val="28"/>
          <w:szCs w:val="28"/>
          <w:highlight w:val="none"/>
          <w:lang w:val="en-US" w:eastAsia="zh-CN"/>
        </w:rPr>
        <w:t>恒源1年</w:t>
      </w:r>
      <w:r>
        <w:rPr>
          <w:rFonts w:hint="eastAsia" w:ascii="楷体" w:hAnsi="楷体" w:eastAsia="楷体"/>
          <w:b/>
          <w:color w:val="auto"/>
          <w:sz w:val="28"/>
          <w:szCs w:val="28"/>
          <w:highlight w:val="none"/>
          <w:lang w:eastAsia="zh-CN"/>
        </w:rPr>
        <w:t>定开</w:t>
      </w:r>
      <w:r>
        <w:rPr>
          <w:rFonts w:hint="eastAsia" w:ascii="楷体" w:hAnsi="楷体" w:eastAsia="楷体"/>
          <w:b/>
          <w:color w:val="auto"/>
          <w:sz w:val="28"/>
          <w:szCs w:val="28"/>
          <w:highlight w:val="none"/>
          <w:lang w:val="en-US" w:eastAsia="zh-CN"/>
        </w:rPr>
        <w:t>27期</w:t>
      </w:r>
      <w:r>
        <w:rPr>
          <w:rFonts w:hint="eastAsia" w:ascii="楷体" w:hAnsi="楷体" w:eastAsia="楷体"/>
          <w:b/>
          <w:color w:val="auto"/>
          <w:sz w:val="28"/>
          <w:szCs w:val="28"/>
          <w:highlight w:val="none"/>
        </w:rPr>
        <w:t>”理财产品说</w:t>
      </w:r>
      <w:r>
        <w:rPr>
          <w:rFonts w:hint="eastAsia" w:ascii="楷体" w:hAnsi="楷体" w:eastAsia="楷体"/>
          <w:b/>
          <w:color w:val="auto"/>
          <w:sz w:val="28"/>
          <w:szCs w:val="28"/>
          <w:highlight w:val="none"/>
          <w:lang w:val="en-US" w:eastAsia="zh-CN"/>
        </w:rPr>
        <w:t>明</w:t>
      </w:r>
      <w:r>
        <w:rPr>
          <w:rFonts w:hint="eastAsia" w:ascii="楷体" w:hAnsi="楷体" w:eastAsia="楷体"/>
          <w:b/>
          <w:color w:val="auto"/>
          <w:sz w:val="28"/>
          <w:szCs w:val="28"/>
          <w:highlight w:val="none"/>
        </w:rPr>
        <w:t>书</w:t>
      </w:r>
    </w:p>
    <w:p>
      <w:pPr>
        <w:pStyle w:val="13"/>
        <w:pageBreakBefore w:val="0"/>
        <w:spacing w:before="0" w:beforeAutospacing="0" w:after="0" w:afterAutospacing="0" w:line="240" w:lineRule="auto"/>
        <w:jc w:val="center"/>
        <w:rPr>
          <w:rFonts w:hint="default" w:ascii="楷体" w:hAnsi="楷体" w:eastAsia="楷体" w:cs="Times New Roman"/>
          <w:kern w:val="2"/>
          <w:sz w:val="21"/>
          <w:szCs w:val="21"/>
          <w:highlight w:val="none"/>
          <w:lang w:val="en-US" w:eastAsia="zh-CN" w:bidi="ar-SA"/>
        </w:rPr>
      </w:pPr>
      <w:r>
        <w:rPr>
          <w:rFonts w:hint="eastAsia" w:ascii="楷体" w:hAnsi="楷体" w:eastAsia="楷体" w:cs="Times New Roman"/>
          <w:kern w:val="2"/>
          <w:sz w:val="21"/>
          <w:szCs w:val="21"/>
          <w:highlight w:val="none"/>
          <w:lang w:val="en-US" w:eastAsia="zh-CN" w:bidi="ar-SA"/>
        </w:rPr>
        <w:t>（2025年9月版）</w:t>
      </w:r>
    </w:p>
    <w:p>
      <w:pPr>
        <w:jc w:val="center"/>
        <w:rPr>
          <w:rFonts w:hint="eastAsia" w:ascii="楷体" w:hAnsi="楷体" w:eastAsia="楷体"/>
          <w:b/>
          <w:sz w:val="24"/>
          <w:szCs w:val="24"/>
        </w:rPr>
      </w:pPr>
      <w:r>
        <w:rPr>
          <w:rFonts w:hint="eastAsia" w:ascii="楷体" w:hAnsi="楷体" w:eastAsia="楷体" w:cs="宋体"/>
          <w:b/>
          <w:kern w:val="0"/>
          <w:sz w:val="24"/>
          <w:szCs w:val="24"/>
        </w:rPr>
        <w:t>理财非存款、产品有风险、投资须谨慎</w:t>
      </w:r>
    </w:p>
    <w:p>
      <w:pPr>
        <w:rPr>
          <w:rFonts w:hint="eastAsia" w:ascii="楷体" w:hAnsi="楷体" w:eastAsia="楷体"/>
          <w:b/>
          <w:color w:val="auto"/>
          <w:sz w:val="21"/>
          <w:szCs w:val="21"/>
        </w:rPr>
      </w:pPr>
      <w:r>
        <w:rPr>
          <w:rFonts w:hint="eastAsia" w:ascii="楷体" w:hAnsi="楷体" w:eastAsia="楷体"/>
          <w:b/>
          <w:color w:val="auto"/>
          <w:sz w:val="21"/>
          <w:szCs w:val="21"/>
        </w:rPr>
        <w:t>重要须知</w:t>
      </w:r>
    </w:p>
    <w:p>
      <w:pPr>
        <w:numPr>
          <w:ilvl w:val="0"/>
          <w:numId w:val="1"/>
        </w:numPr>
        <w:ind w:left="420" w:leftChars="0" w:hanging="420" w:firstLineChars="0"/>
        <w:rPr>
          <w:rFonts w:ascii="楷体" w:hAnsi="楷体" w:eastAsia="楷体"/>
          <w:sz w:val="21"/>
          <w:szCs w:val="21"/>
        </w:rPr>
      </w:pPr>
      <w:r>
        <w:rPr>
          <w:rFonts w:hint="eastAsia" w:ascii="楷体" w:hAnsi="楷体" w:eastAsia="楷体"/>
          <w:sz w:val="21"/>
          <w:szCs w:val="21"/>
        </w:rPr>
        <w:t>在购买本理财产品前，投资者应确保自己完全理解该项投资的性质和所涉及的风险，详细了解和审慎评估该理财产品的资金投向、风险类型等基本情况，在慎重考虑后自行决定购买与自身风险承受能力和资产管理需求匹配的理财产品。</w:t>
      </w:r>
    </w:p>
    <w:p>
      <w:pPr>
        <w:numPr>
          <w:ilvl w:val="0"/>
          <w:numId w:val="1"/>
        </w:numPr>
        <w:ind w:left="420" w:leftChars="0" w:hanging="420" w:firstLineChars="0"/>
        <w:rPr>
          <w:rFonts w:ascii="楷体" w:hAnsi="楷体" w:eastAsia="楷体"/>
          <w:b/>
          <w:sz w:val="21"/>
          <w:szCs w:val="21"/>
          <w:u w:val="single"/>
        </w:rPr>
      </w:pPr>
      <w:r>
        <w:rPr>
          <w:rFonts w:hint="eastAsia" w:ascii="楷体" w:hAnsi="楷体" w:eastAsia="楷体"/>
          <w:b/>
          <w:sz w:val="21"/>
          <w:szCs w:val="21"/>
          <w:u w:val="single"/>
        </w:rPr>
        <w:t>本理财产品不保证本金及收益，您的本金可能因市场变动</w:t>
      </w:r>
      <w:r>
        <w:rPr>
          <w:rFonts w:hint="eastAsia" w:ascii="楷体" w:hAnsi="楷体" w:eastAsia="楷体"/>
          <w:b/>
          <w:sz w:val="21"/>
          <w:szCs w:val="21"/>
          <w:u w:val="single"/>
          <w:lang w:val="en-US" w:eastAsia="zh-CN"/>
        </w:rPr>
        <w:t>或者交易违约等事项</w:t>
      </w:r>
      <w:r>
        <w:rPr>
          <w:rFonts w:hint="eastAsia" w:ascii="楷体" w:hAnsi="楷体" w:eastAsia="楷体"/>
          <w:b/>
          <w:sz w:val="21"/>
          <w:szCs w:val="21"/>
          <w:u w:val="single"/>
        </w:rPr>
        <w:t>而蒙受相应损失，投资者应充分认识投资风险，谨慎投资</w:t>
      </w:r>
      <w:r>
        <w:rPr>
          <w:rFonts w:hint="eastAsia" w:ascii="楷体" w:hAnsi="楷体" w:eastAsia="楷体"/>
          <w:b/>
          <w:sz w:val="21"/>
          <w:szCs w:val="21"/>
          <w:u w:val="single"/>
          <w:lang w:eastAsia="zh-CN"/>
        </w:rPr>
        <w:t>。</w:t>
      </w:r>
    </w:p>
    <w:p>
      <w:pPr>
        <w:numPr>
          <w:ilvl w:val="0"/>
          <w:numId w:val="1"/>
        </w:numPr>
        <w:ind w:left="420" w:leftChars="0" w:hanging="420" w:firstLineChars="0"/>
        <w:rPr>
          <w:rFonts w:ascii="楷体" w:hAnsi="楷体" w:eastAsia="楷体"/>
          <w:b/>
          <w:sz w:val="21"/>
          <w:szCs w:val="21"/>
          <w:u w:val="single"/>
        </w:rPr>
      </w:pPr>
      <w:r>
        <w:rPr>
          <w:rFonts w:hint="eastAsia" w:ascii="楷体" w:hAnsi="楷体" w:eastAsia="楷体"/>
          <w:b/>
          <w:sz w:val="21"/>
          <w:szCs w:val="21"/>
          <w:u w:val="single"/>
        </w:rPr>
        <w:t>本理财产品过往业绩不代表其未来表现，不等于理财产品实际收益，投资须谨慎；理财非存款、产品有风险、投资须谨慎。</w:t>
      </w:r>
    </w:p>
    <w:p>
      <w:pPr>
        <w:numPr>
          <w:ilvl w:val="0"/>
          <w:numId w:val="1"/>
        </w:numPr>
        <w:ind w:left="420" w:leftChars="0" w:hanging="420" w:firstLineChars="0"/>
        <w:rPr>
          <w:rFonts w:hint="eastAsia" w:ascii="楷体" w:hAnsi="楷体" w:eastAsia="楷体"/>
          <w:b/>
          <w:sz w:val="21"/>
          <w:szCs w:val="21"/>
          <w:u w:val="single"/>
        </w:rPr>
      </w:pPr>
      <w:r>
        <w:rPr>
          <w:rFonts w:hint="eastAsia" w:ascii="楷体" w:hAnsi="楷体" w:eastAsia="楷体"/>
          <w:b/>
          <w:sz w:val="21"/>
          <w:szCs w:val="21"/>
          <w:u w:val="single"/>
        </w:rPr>
        <w:t>本理财产品任何业绩比较基准</w:t>
      </w:r>
      <w:r>
        <w:rPr>
          <w:rFonts w:hint="eastAsia" w:ascii="楷体" w:hAnsi="楷体" w:eastAsia="楷体"/>
          <w:b/>
          <w:sz w:val="21"/>
          <w:szCs w:val="21"/>
          <w:u w:val="single"/>
          <w:lang w:val="en-US" w:eastAsia="zh-CN"/>
        </w:rPr>
        <w:t>及</w:t>
      </w:r>
      <w:r>
        <w:rPr>
          <w:rFonts w:hint="eastAsia" w:ascii="楷体" w:hAnsi="楷体" w:eastAsia="楷体"/>
          <w:b/>
          <w:sz w:val="21"/>
          <w:szCs w:val="21"/>
          <w:u w:val="single"/>
        </w:rPr>
        <w:t>类似表述均属不具有法律约束力的用语</w:t>
      </w:r>
      <w:r>
        <w:rPr>
          <w:rFonts w:hint="eastAsia" w:ascii="楷体" w:hAnsi="楷体" w:eastAsia="楷体"/>
          <w:b/>
          <w:sz w:val="21"/>
          <w:szCs w:val="21"/>
          <w:u w:val="single"/>
          <w:lang w:eastAsia="zh-CN"/>
        </w:rPr>
        <w:t>。</w:t>
      </w:r>
      <w:r>
        <w:rPr>
          <w:rFonts w:hint="eastAsia" w:ascii="楷体" w:hAnsi="楷体" w:eastAsia="楷体"/>
          <w:b/>
          <w:sz w:val="21"/>
          <w:szCs w:val="21"/>
          <w:u w:val="single"/>
        </w:rPr>
        <w:t>业绩比较基准</w:t>
      </w:r>
      <w:r>
        <w:rPr>
          <w:rFonts w:hint="eastAsia" w:ascii="楷体" w:hAnsi="楷体" w:eastAsia="楷体"/>
          <w:b/>
          <w:sz w:val="21"/>
          <w:szCs w:val="21"/>
          <w:u w:val="single"/>
          <w:lang w:val="en-US" w:eastAsia="zh-CN"/>
        </w:rPr>
        <w:t>为</w:t>
      </w:r>
      <w:r>
        <w:rPr>
          <w:rFonts w:hint="eastAsia" w:ascii="楷体" w:hAnsi="楷体" w:eastAsia="楷体"/>
          <w:b/>
          <w:sz w:val="21"/>
          <w:szCs w:val="21"/>
          <w:u w:val="single"/>
        </w:rPr>
        <w:t>管理人基于产品性质、投资策略、过往经验等因素对产品设定的投资目标。业绩比较基准不是预期收益率，不代表产品的未来表现和实际收益，不构成对产品收益的承诺。</w:t>
      </w:r>
    </w:p>
    <w:p>
      <w:pPr>
        <w:numPr>
          <w:ilvl w:val="0"/>
          <w:numId w:val="1"/>
        </w:numPr>
        <w:ind w:left="420" w:leftChars="0" w:hanging="420" w:firstLineChars="0"/>
        <w:rPr>
          <w:rFonts w:hint="eastAsia" w:ascii="楷体" w:hAnsi="楷体" w:eastAsia="楷体"/>
          <w:sz w:val="21"/>
          <w:szCs w:val="21"/>
        </w:rPr>
      </w:pPr>
      <w:r>
        <w:rPr>
          <w:rFonts w:hint="eastAsia" w:ascii="楷体" w:hAnsi="楷体" w:eastAsia="楷体"/>
          <w:sz w:val="21"/>
          <w:szCs w:val="21"/>
        </w:rPr>
        <w:t>《风险揭示书》、《理财产品说明书》、《理财产品投资协议书》、《投资者权益须知》、《理财产品（代理）销售协议书》共同构成本理财产品完整的不可分割的理财产品合同。</w:t>
      </w:r>
    </w:p>
    <w:p>
      <w:pPr>
        <w:numPr>
          <w:ilvl w:val="0"/>
          <w:numId w:val="1"/>
        </w:numPr>
        <w:ind w:left="420" w:leftChars="0" w:hanging="420" w:firstLineChars="0"/>
        <w:rPr>
          <w:rFonts w:hint="eastAsia" w:ascii="楷体" w:hAnsi="楷体" w:eastAsia="楷体"/>
          <w:sz w:val="21"/>
          <w:szCs w:val="21"/>
        </w:rPr>
      </w:pPr>
      <w:r>
        <w:rPr>
          <w:rFonts w:hint="eastAsia" w:ascii="楷体" w:hAnsi="楷体" w:eastAsia="楷体"/>
          <w:sz w:val="21"/>
          <w:szCs w:val="21"/>
        </w:rPr>
        <w:t>本理财产品涉及的主要风险包括政策风险、信用风险、市场风险、流动性风险、管理风险、操作风险、延期兑付风险、提前终止风险、信息传递风险、代销风险</w:t>
      </w:r>
      <w:r>
        <w:rPr>
          <w:rFonts w:hint="eastAsia" w:ascii="楷体" w:hAnsi="楷体" w:eastAsia="楷体"/>
          <w:sz w:val="21"/>
          <w:szCs w:val="21"/>
          <w:lang w:eastAsia="zh-CN"/>
        </w:rPr>
        <w:t>（</w:t>
      </w:r>
      <w:r>
        <w:rPr>
          <w:rFonts w:hint="eastAsia" w:ascii="楷体" w:hAnsi="楷体" w:eastAsia="楷体"/>
          <w:sz w:val="21"/>
          <w:szCs w:val="21"/>
          <w:lang w:val="en-US" w:eastAsia="zh-CN"/>
        </w:rPr>
        <w:t>如有）</w:t>
      </w:r>
      <w:r>
        <w:rPr>
          <w:rFonts w:hint="eastAsia" w:ascii="楷体" w:hAnsi="楷体" w:eastAsia="楷体"/>
          <w:sz w:val="21"/>
          <w:szCs w:val="21"/>
        </w:rPr>
        <w:t>、不可抗力风险</w:t>
      </w:r>
      <w:r>
        <w:rPr>
          <w:rFonts w:hint="eastAsia" w:ascii="楷体" w:hAnsi="楷体" w:eastAsia="楷体"/>
          <w:sz w:val="21"/>
          <w:szCs w:val="21"/>
          <w:lang w:eastAsia="zh-CN"/>
        </w:rPr>
        <w:t>、</w:t>
      </w:r>
      <w:r>
        <w:rPr>
          <w:rFonts w:hint="eastAsia" w:ascii="楷体" w:hAnsi="楷体" w:eastAsia="楷体"/>
          <w:sz w:val="21"/>
          <w:szCs w:val="21"/>
          <w:lang w:val="en-US" w:eastAsia="zh-CN"/>
        </w:rPr>
        <w:t>关联关系及关联交易风险、</w:t>
      </w:r>
      <w:r>
        <w:rPr>
          <w:rFonts w:hint="eastAsia" w:ascii="楷体" w:hAnsi="楷体" w:eastAsia="楷体"/>
          <w:sz w:val="21"/>
          <w:szCs w:val="21"/>
          <w:lang w:eastAsia="zh-CN"/>
        </w:rPr>
        <w:t>特定投资标的风险</w:t>
      </w:r>
      <w:r>
        <w:rPr>
          <w:rFonts w:hint="eastAsia" w:ascii="楷体" w:hAnsi="楷体" w:eastAsia="楷体"/>
          <w:sz w:val="21"/>
          <w:szCs w:val="21"/>
        </w:rPr>
        <w:t>等。请仔细阅读《“</w:t>
      </w:r>
      <w:r>
        <w:rPr>
          <w:rFonts w:hint="eastAsia" w:ascii="楷体" w:hAnsi="楷体" w:eastAsia="楷体"/>
          <w:b w:val="0"/>
          <w:bCs w:val="0"/>
          <w:sz w:val="21"/>
          <w:szCs w:val="21"/>
          <w:highlight w:val="none"/>
        </w:rPr>
        <w:t>苏银理财</w:t>
      </w:r>
      <w:r>
        <w:rPr>
          <w:rFonts w:hint="eastAsia" w:ascii="楷体" w:hAnsi="楷体" w:eastAsia="楷体"/>
          <w:b w:val="0"/>
          <w:bCs w:val="0"/>
          <w:sz w:val="21"/>
          <w:szCs w:val="21"/>
          <w:highlight w:val="none"/>
          <w:lang w:val="en-US" w:eastAsia="zh-CN"/>
        </w:rPr>
        <w:t>*定开*</w:t>
      </w:r>
      <w:r>
        <w:rPr>
          <w:rFonts w:hint="eastAsia" w:ascii="楷体" w:hAnsi="楷体" w:eastAsia="楷体"/>
          <w:b w:val="0"/>
          <w:bCs w:val="0"/>
          <w:sz w:val="21"/>
          <w:szCs w:val="21"/>
          <w:highlight w:val="none"/>
          <w:lang w:eastAsia="zh-CN"/>
        </w:rPr>
        <w:t>期</w:t>
      </w:r>
      <w:r>
        <w:rPr>
          <w:rFonts w:hint="eastAsia" w:ascii="楷体" w:hAnsi="楷体" w:eastAsia="楷体"/>
          <w:sz w:val="21"/>
          <w:szCs w:val="21"/>
        </w:rPr>
        <w:t>”理财产品风险揭示书》的“风险揭示”部分。</w:t>
      </w:r>
    </w:p>
    <w:p>
      <w:pPr>
        <w:numPr>
          <w:ilvl w:val="0"/>
          <w:numId w:val="1"/>
        </w:numPr>
        <w:ind w:left="420" w:leftChars="0" w:hanging="420" w:firstLineChars="0"/>
        <w:rPr>
          <w:rFonts w:hint="eastAsia" w:ascii="楷体" w:hAnsi="楷体" w:eastAsia="楷体"/>
          <w:b/>
          <w:sz w:val="21"/>
          <w:szCs w:val="21"/>
          <w:highlight w:val="none"/>
          <w:u w:val="single"/>
        </w:rPr>
      </w:pPr>
      <w:r>
        <w:rPr>
          <w:rFonts w:hint="eastAsia" w:ascii="楷体" w:hAnsi="楷体" w:eastAsia="楷体"/>
          <w:b/>
          <w:sz w:val="21"/>
          <w:szCs w:val="21"/>
          <w:highlight w:val="none"/>
          <w:u w:val="single"/>
        </w:rPr>
        <w:t>本产品可设置多</w:t>
      </w:r>
      <w:r>
        <w:rPr>
          <w:rFonts w:hint="eastAsia" w:ascii="楷体" w:hAnsi="楷体" w:eastAsia="楷体"/>
          <w:b/>
          <w:sz w:val="21"/>
          <w:szCs w:val="21"/>
          <w:highlight w:val="none"/>
          <w:u w:val="single"/>
          <w:lang w:val="en-US" w:eastAsia="zh-CN"/>
        </w:rPr>
        <w:t>类</w:t>
      </w:r>
      <w:r>
        <w:rPr>
          <w:rFonts w:hint="eastAsia" w:ascii="楷体" w:hAnsi="楷体" w:eastAsia="楷体"/>
          <w:b/>
          <w:sz w:val="21"/>
          <w:szCs w:val="21"/>
          <w:highlight w:val="none"/>
          <w:u w:val="single"/>
        </w:rPr>
        <w:t>份额，各</w:t>
      </w:r>
      <w:r>
        <w:rPr>
          <w:rFonts w:hint="eastAsia" w:ascii="楷体" w:hAnsi="楷体" w:eastAsia="楷体"/>
          <w:b/>
          <w:sz w:val="21"/>
          <w:szCs w:val="21"/>
          <w:highlight w:val="none"/>
          <w:u w:val="single"/>
          <w:lang w:val="en-US" w:eastAsia="zh-CN"/>
        </w:rPr>
        <w:t>类</w:t>
      </w:r>
      <w:r>
        <w:rPr>
          <w:rFonts w:hint="eastAsia" w:ascii="楷体" w:hAnsi="楷体" w:eastAsia="楷体"/>
          <w:b/>
          <w:sz w:val="21"/>
          <w:szCs w:val="21"/>
          <w:highlight w:val="none"/>
          <w:u w:val="single"/>
        </w:rPr>
        <w:t>份额可能设置不同的销售对象、销售起点、业绩比较基准等，各</w:t>
      </w:r>
      <w:r>
        <w:rPr>
          <w:rFonts w:hint="eastAsia" w:ascii="楷体" w:hAnsi="楷体" w:eastAsia="楷体"/>
          <w:b/>
          <w:sz w:val="21"/>
          <w:szCs w:val="21"/>
          <w:highlight w:val="none"/>
          <w:u w:val="single"/>
          <w:lang w:val="en-US" w:eastAsia="zh-CN"/>
        </w:rPr>
        <w:t>类</w:t>
      </w:r>
      <w:r>
        <w:rPr>
          <w:rFonts w:hint="eastAsia" w:ascii="楷体" w:hAnsi="楷体" w:eastAsia="楷体"/>
          <w:b/>
          <w:sz w:val="21"/>
          <w:szCs w:val="21"/>
          <w:highlight w:val="none"/>
          <w:u w:val="single"/>
        </w:rPr>
        <w:t>份额实际收取的销售服务费率、投资管理费率、超额业绩报酬（如有）等可能存在差异，投资者应根据实际情况自主选择购买。</w:t>
      </w:r>
    </w:p>
    <w:p>
      <w:pPr>
        <w:numPr>
          <w:ilvl w:val="0"/>
          <w:numId w:val="1"/>
        </w:numPr>
        <w:ind w:left="420" w:leftChars="0" w:hanging="420" w:firstLineChars="0"/>
        <w:rPr>
          <w:rFonts w:ascii="楷体" w:hAnsi="楷体" w:eastAsia="楷体"/>
          <w:b/>
          <w:sz w:val="21"/>
          <w:szCs w:val="21"/>
          <w:highlight w:val="none"/>
          <w:u w:val="single"/>
        </w:rPr>
      </w:pPr>
      <w:r>
        <w:rPr>
          <w:rFonts w:hint="eastAsia" w:ascii="楷体" w:hAnsi="楷体" w:eastAsia="楷体"/>
          <w:b/>
          <w:sz w:val="21"/>
          <w:szCs w:val="21"/>
          <w:highlight w:val="none"/>
          <w:u w:val="single"/>
        </w:rPr>
        <w:t>投资者不得使用贷款、发行债券等筹集的非自有资金投资本理财产品。</w:t>
      </w:r>
    </w:p>
    <w:p>
      <w:pPr>
        <w:numPr>
          <w:ilvl w:val="0"/>
          <w:numId w:val="1"/>
        </w:numPr>
        <w:ind w:left="420" w:leftChars="0" w:hanging="420" w:firstLineChars="0"/>
        <w:rPr>
          <w:rFonts w:ascii="楷体" w:hAnsi="楷体" w:eastAsia="楷体"/>
          <w:sz w:val="21"/>
          <w:szCs w:val="21"/>
          <w:highlight w:val="none"/>
        </w:rPr>
      </w:pPr>
      <w:r>
        <w:rPr>
          <w:rFonts w:hint="eastAsia" w:ascii="楷体" w:hAnsi="楷体" w:eastAsia="楷体"/>
          <w:sz w:val="21"/>
          <w:szCs w:val="21"/>
        </w:rPr>
        <w:t>在本产品存续期内，如因监管政策或法律法规发生变化，在不损害投资者利益的前提下</w:t>
      </w:r>
      <w:r>
        <w:rPr>
          <w:rFonts w:hint="eastAsia" w:ascii="楷体" w:hAnsi="楷体" w:eastAsia="楷体"/>
          <w:sz w:val="21"/>
          <w:szCs w:val="21"/>
          <w:highlight w:val="none"/>
        </w:rPr>
        <w:t>，苏银理财有权单方对本产品条款进行修订，并按本理财产品说明书约定的信息披露方式予以披露。</w:t>
      </w:r>
    </w:p>
    <w:p>
      <w:pPr>
        <w:keepNext w:val="0"/>
        <w:keepLines w:val="0"/>
        <w:pageBreakBefore w:val="0"/>
        <w:widowControl w:val="0"/>
        <w:numPr>
          <w:ilvl w:val="0"/>
          <w:numId w:val="2"/>
        </w:numPr>
        <w:tabs>
          <w:tab w:val="left" w:pos="1134"/>
          <w:tab w:val="clear" w:pos="0"/>
        </w:tabs>
        <w:kinsoku/>
        <w:wordWrap/>
        <w:overflowPunct/>
        <w:topLinePunct w:val="0"/>
        <w:autoSpaceDE/>
        <w:autoSpaceDN/>
        <w:bidi w:val="0"/>
        <w:adjustRightInd/>
        <w:snapToGrid/>
        <w:ind w:left="0" w:leftChars="0" w:firstLine="422" w:firstLineChars="200"/>
        <w:textAlignment w:val="auto"/>
        <w:outlineLvl w:val="1"/>
        <w:rPr>
          <w:rFonts w:hint="eastAsia" w:ascii="楷体" w:hAnsi="楷体" w:eastAsia="楷体"/>
          <w:sz w:val="21"/>
          <w:szCs w:val="21"/>
          <w:highlight w:val="none"/>
        </w:rPr>
      </w:pPr>
      <w:r>
        <w:rPr>
          <w:rFonts w:hint="eastAsia" w:ascii="楷体" w:hAnsi="楷体" w:eastAsia="楷体"/>
          <w:b/>
          <w:sz w:val="21"/>
          <w:szCs w:val="21"/>
        </w:rPr>
        <w:t>产品要素</w:t>
      </w:r>
    </w:p>
    <w:p>
      <w:pPr>
        <w:numPr>
          <w:ilvl w:val="0"/>
          <w:numId w:val="0"/>
        </w:numPr>
        <w:tabs>
          <w:tab w:val="left" w:pos="1134"/>
        </w:tabs>
        <w:ind w:left="0" w:leftChars="0" w:firstLine="420" w:firstLineChars="200"/>
        <w:outlineLvl w:val="1"/>
        <w:rPr>
          <w:rFonts w:hint="eastAsia" w:ascii="楷体" w:hAnsi="楷体" w:eastAsia="楷体"/>
          <w:sz w:val="21"/>
          <w:szCs w:val="21"/>
          <w:highlight w:val="none"/>
        </w:rPr>
      </w:pPr>
      <w:r>
        <w:rPr>
          <w:rFonts w:hint="eastAsia" w:ascii="楷体" w:hAnsi="楷体" w:eastAsia="楷体"/>
          <w:sz w:val="21"/>
          <w:szCs w:val="21"/>
          <w:highlight w:val="none"/>
        </w:rPr>
        <w:t>为保护投资者合法权益，尊重投资者的知情权和自主选择权，现将本理财产品的基本要素说明如下：</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1"/>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ascii="楷体" w:hAnsi="楷体" w:eastAsia="楷体" w:cs="宋体"/>
                <w:b/>
                <w:spacing w:val="-2"/>
                <w:sz w:val="18"/>
                <w:szCs w:val="18"/>
              </w:rPr>
            </w:pPr>
            <w:r>
              <w:rPr>
                <w:rFonts w:hint="eastAsia" w:ascii="楷体" w:hAnsi="楷体" w:eastAsia="楷体" w:cs="宋体"/>
                <w:b/>
                <w:spacing w:val="-2"/>
                <w:sz w:val="18"/>
                <w:szCs w:val="18"/>
              </w:rPr>
              <w:t>产品名称</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sz w:val="18"/>
                <w:szCs w:val="18"/>
                <w:lang w:eastAsia="zh-CN"/>
              </w:rPr>
            </w:pPr>
            <w:r>
              <w:rPr>
                <w:rFonts w:hint="eastAsia" w:ascii="楷体" w:hAnsi="楷体" w:eastAsia="楷体" w:cs="宋体"/>
                <w:spacing w:val="-2"/>
                <w:sz w:val="18"/>
                <w:szCs w:val="18"/>
                <w:highlight w:val="none"/>
                <w:lang w:eastAsia="zh-CN"/>
              </w:rPr>
              <w:t>苏银理财</w:t>
            </w:r>
            <w:r>
              <w:rPr>
                <w:rFonts w:hint="eastAsia" w:ascii="楷体" w:hAnsi="楷体" w:eastAsia="楷体" w:cs="宋体"/>
                <w:spacing w:val="-2"/>
                <w:sz w:val="18"/>
                <w:szCs w:val="18"/>
                <w:highlight w:val="none"/>
                <w:lang w:val="en-US" w:eastAsia="zh-CN"/>
              </w:rPr>
              <w:t>恒源1年</w:t>
            </w:r>
            <w:r>
              <w:rPr>
                <w:rFonts w:hint="eastAsia" w:ascii="楷体" w:hAnsi="楷体" w:eastAsia="楷体" w:cs="宋体"/>
                <w:spacing w:val="-2"/>
                <w:sz w:val="18"/>
                <w:szCs w:val="18"/>
                <w:highlight w:val="none"/>
                <w:lang w:eastAsia="zh-CN"/>
              </w:rPr>
              <w:t>定开</w:t>
            </w:r>
            <w:r>
              <w:rPr>
                <w:rFonts w:hint="eastAsia" w:ascii="楷体" w:hAnsi="楷体" w:eastAsia="楷体" w:cs="宋体"/>
                <w:spacing w:val="-2"/>
                <w:sz w:val="18"/>
                <w:szCs w:val="18"/>
                <w:highlight w:val="none"/>
                <w:lang w:val="en-US" w:eastAsia="zh-CN"/>
              </w:rPr>
              <w:t>27</w:t>
            </w:r>
            <w:r>
              <w:rPr>
                <w:rFonts w:hint="eastAsia" w:ascii="楷体" w:hAnsi="楷体" w:eastAsia="楷体" w:cs="宋体"/>
                <w:spacing w:val="-2"/>
                <w:sz w:val="18"/>
                <w:szCs w:val="18"/>
                <w:highlight w:val="none"/>
                <w:lang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ascii="楷体" w:hAnsi="楷体" w:eastAsia="楷体" w:cs="宋体"/>
                <w:b/>
                <w:spacing w:val="-2"/>
                <w:sz w:val="18"/>
                <w:szCs w:val="18"/>
              </w:rPr>
            </w:pPr>
            <w:r>
              <w:rPr>
                <w:rFonts w:hint="eastAsia" w:ascii="楷体" w:hAnsi="楷体" w:eastAsia="楷体" w:cs="宋体"/>
                <w:b/>
                <w:spacing w:val="-2"/>
                <w:sz w:val="18"/>
                <w:szCs w:val="18"/>
              </w:rPr>
              <w:t>理财产品登记编码</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sz w:val="18"/>
                <w:szCs w:val="18"/>
                <w:lang w:eastAsia="zh-CN"/>
              </w:rPr>
            </w:pPr>
            <w:r>
              <w:rPr>
                <w:rFonts w:hint="eastAsia" w:ascii="楷体" w:hAnsi="楷体" w:eastAsia="楷体" w:cs="宋体"/>
                <w:spacing w:val="-2"/>
                <w:sz w:val="18"/>
                <w:szCs w:val="18"/>
                <w:lang w:eastAsia="zh-CN"/>
              </w:rPr>
              <w:t>Z7003122000105，</w:t>
            </w:r>
            <w:r>
              <w:rPr>
                <w:rFonts w:hint="eastAsia" w:ascii="楷体" w:hAnsi="楷体" w:eastAsia="楷体" w:cs="宋体"/>
                <w:spacing w:val="-2"/>
                <w:sz w:val="18"/>
                <w:szCs w:val="18"/>
              </w:rPr>
              <w:t>投资者可依据该编码在中国理财网</w:t>
            </w:r>
            <w:r>
              <w:rPr>
                <w:rFonts w:ascii="楷体" w:hAnsi="楷体" w:eastAsia="楷体" w:cs="宋体"/>
                <w:spacing w:val="-2"/>
                <w:sz w:val="18"/>
                <w:szCs w:val="18"/>
              </w:rPr>
              <w:fldChar w:fldCharType="begin"/>
            </w:r>
            <w:r>
              <w:rPr>
                <w:rFonts w:ascii="楷体" w:hAnsi="楷体" w:eastAsia="楷体" w:cs="宋体"/>
                <w:spacing w:val="-2"/>
                <w:sz w:val="18"/>
                <w:szCs w:val="18"/>
              </w:rPr>
              <w:instrText xml:space="preserve"> HYPERLINK "http://www.chinawealth.com.cn/" </w:instrText>
            </w:r>
            <w:r>
              <w:rPr>
                <w:rFonts w:ascii="楷体" w:hAnsi="楷体" w:eastAsia="楷体" w:cs="宋体"/>
                <w:spacing w:val="-2"/>
                <w:sz w:val="18"/>
                <w:szCs w:val="18"/>
              </w:rPr>
              <w:fldChar w:fldCharType="separate"/>
            </w:r>
            <w:r>
              <w:rPr>
                <w:rFonts w:ascii="楷体" w:hAnsi="楷体" w:eastAsia="楷体" w:cs="宋体"/>
                <w:spacing w:val="-2"/>
                <w:sz w:val="18"/>
                <w:szCs w:val="18"/>
              </w:rPr>
              <w:t>www.chinawealth.com.cn</w:t>
            </w:r>
            <w:r>
              <w:rPr>
                <w:rFonts w:ascii="楷体" w:hAnsi="楷体" w:eastAsia="楷体" w:cs="宋体"/>
                <w:spacing w:val="-2"/>
                <w:sz w:val="18"/>
                <w:szCs w:val="18"/>
              </w:rPr>
              <w:fldChar w:fldCharType="end"/>
            </w:r>
            <w:r>
              <w:rPr>
                <w:rFonts w:hint="eastAsia" w:ascii="楷体" w:hAnsi="楷体" w:eastAsia="楷体" w:cs="宋体"/>
                <w:spacing w:val="-2"/>
                <w:sz w:val="18"/>
                <w:szCs w:val="18"/>
              </w:rPr>
              <w:t>查询产品信息</w:t>
            </w:r>
            <w:r>
              <w:rPr>
                <w:rFonts w:hint="eastAsia" w:ascii="楷体" w:hAnsi="楷体" w:eastAsia="楷体" w:cs="宋体"/>
                <w:spacing w:val="-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ascii="楷体" w:hAnsi="楷体" w:eastAsia="楷体" w:cs="宋体"/>
                <w:b/>
                <w:spacing w:val="-2"/>
                <w:sz w:val="18"/>
                <w:szCs w:val="18"/>
                <w:highlight w:val="none"/>
              </w:rPr>
            </w:pPr>
            <w:r>
              <w:rPr>
                <w:rFonts w:hint="eastAsia" w:ascii="楷体" w:hAnsi="楷体" w:eastAsia="楷体" w:cs="宋体"/>
                <w:b/>
                <w:spacing w:val="-2"/>
                <w:sz w:val="18"/>
                <w:szCs w:val="18"/>
                <w:highlight w:val="none"/>
              </w:rPr>
              <w:t>销售</w:t>
            </w:r>
            <w:r>
              <w:rPr>
                <w:rFonts w:hint="eastAsia" w:ascii="楷体" w:hAnsi="楷体" w:eastAsia="楷体" w:cs="宋体"/>
                <w:b/>
                <w:spacing w:val="-2"/>
                <w:sz w:val="18"/>
                <w:szCs w:val="18"/>
                <w:highlight w:val="none"/>
                <w:lang w:val="en-US" w:eastAsia="zh-CN"/>
              </w:rPr>
              <w:t>名称</w:t>
            </w:r>
            <w:r>
              <w:rPr>
                <w:rFonts w:hint="eastAsia" w:ascii="楷体" w:hAnsi="楷体" w:eastAsia="楷体" w:cs="宋体"/>
                <w:b/>
                <w:spacing w:val="-2"/>
                <w:sz w:val="18"/>
                <w:szCs w:val="18"/>
                <w:highlight w:val="none"/>
              </w:rPr>
              <w:t>/销售代码</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A份额：苏银理财恒源1年定开27期A/J02072</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B份额:苏银理财恒源1年定开27期B/J02073</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default"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C份额:苏银理财恒源1年定开27期C/J07780</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D份额:苏银理财恒源1年定开27期D/J02604</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F份额:苏银理财恒源1年定开27期F/J02605</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G份额:苏银理财恒源1年定开27期G/J02606</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J份额:苏银理财恒源1年定开27期J/J02607</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K份额:苏银理财恒源1年定开27期K/J02608</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default"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P份额:苏银理财恒源1年定开27期P/J07781</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T份额:苏银理财恒源1年定开27期T/J07782</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ZA份额:苏银理财恒源1年定开27期ZA（自动赎回）/J02609</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default"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ZF份额:苏银理财恒源1年定开27期ZF（自动赎回）/J02610</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ZN份额:苏银理财恒源1年定开27期ZN（自动赎回）/J07783</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default"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ZQ份额:苏银理财恒源1年定开27期ZQ（自动赎回）/J07784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产品类型</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b/>
                <w:spacing w:val="-2"/>
                <w:kern w:val="0"/>
                <w:sz w:val="18"/>
                <w:szCs w:val="18"/>
                <w:u w:val="single"/>
                <w:lang w:val="en-US" w:eastAsia="zh-CN" w:bidi="ar-SA"/>
              </w:rPr>
            </w:pPr>
            <w:r>
              <w:rPr>
                <w:rFonts w:hint="eastAsia" w:ascii="楷体" w:hAnsi="楷体" w:eastAsia="楷体" w:cs="宋体"/>
                <w:b/>
                <w:spacing w:val="-2"/>
                <w:sz w:val="18"/>
                <w:szCs w:val="18"/>
                <w:u w:val="single"/>
              </w:rPr>
              <w:t>固定收益类、公募、开放式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ascii="楷体" w:hAnsi="楷体" w:eastAsia="楷体" w:cs="宋体"/>
                <w:b/>
                <w:spacing w:val="-2"/>
                <w:sz w:val="18"/>
                <w:szCs w:val="18"/>
              </w:rPr>
            </w:pPr>
            <w:r>
              <w:rPr>
                <w:rFonts w:hint="eastAsia" w:ascii="楷体" w:hAnsi="楷体" w:eastAsia="楷体" w:cs="宋体"/>
                <w:b/>
                <w:spacing w:val="-2"/>
                <w:sz w:val="18"/>
                <w:szCs w:val="18"/>
              </w:rPr>
              <w:t>产品内部风险评级</w:t>
            </w:r>
          </w:p>
        </w:tc>
        <w:tc>
          <w:tcPr>
            <w:tcW w:w="7937" w:type="dxa"/>
            <w:noWrap w:val="0"/>
            <w:vAlign w:val="center"/>
          </w:tcPr>
          <w:p>
            <w:pPr>
              <w:keepNext w:val="0"/>
              <w:keepLines w:val="0"/>
              <w:pageBreakBefore w:val="0"/>
              <w:widowControl w:val="0"/>
              <w:numPr>
                <w:ilvl w:val="-1"/>
                <w:numId w:val="0"/>
              </w:numPr>
              <w:wordWrap/>
              <w:topLinePunct w:val="0"/>
              <w:bidi w:val="0"/>
              <w:snapToGrid/>
              <w:spacing w:line="0" w:lineRule="atLeast"/>
              <w:ind w:left="0" w:leftChars="0" w:right="0" w:rightChars="0" w:firstLine="0" w:firstLineChars="0"/>
              <w:textAlignment w:val="auto"/>
              <w:rPr>
                <w:rFonts w:hint="eastAsia" w:ascii="楷体" w:hAnsi="楷体" w:eastAsia="楷体"/>
                <w:color w:val="auto"/>
                <w:sz w:val="18"/>
                <w:szCs w:val="18"/>
              </w:rPr>
            </w:pPr>
            <w:r>
              <w:rPr>
                <w:rFonts w:hint="eastAsia" w:ascii="楷体" w:hAnsi="楷体" w:eastAsia="楷体"/>
                <w:color w:val="auto"/>
                <w:sz w:val="18"/>
                <w:szCs w:val="18"/>
                <w:lang w:val="en-US" w:eastAsia="zh-CN"/>
              </w:rPr>
              <w:t>1.</w:t>
            </w:r>
            <w:r>
              <w:rPr>
                <w:rFonts w:hint="eastAsia" w:ascii="楷体" w:hAnsi="楷体" w:eastAsia="楷体"/>
                <w:color w:val="auto"/>
                <w:sz w:val="18"/>
                <w:szCs w:val="18"/>
              </w:rPr>
              <w:t>本理财产品经苏银理财内部风险评级为</w:t>
            </w:r>
            <w:r>
              <w:rPr>
                <w:rFonts w:hint="eastAsia" w:ascii="楷体" w:hAnsi="楷体" w:eastAsia="楷体"/>
                <w:b/>
                <w:color w:val="auto"/>
                <w:sz w:val="18"/>
                <w:szCs w:val="18"/>
                <w:u w:val="single"/>
              </w:rPr>
              <w:t>★★二级，适合中低风险型投资者，适合投资策略为稳健发展</w:t>
            </w:r>
            <w:r>
              <w:rPr>
                <w:rFonts w:hint="eastAsia" w:ascii="楷体" w:hAnsi="楷体" w:eastAsia="楷体"/>
                <w:b/>
                <w:color w:val="auto"/>
                <w:sz w:val="18"/>
                <w:szCs w:val="18"/>
                <w:u w:val="single"/>
                <w:lang w:val="en-US" w:eastAsia="zh-CN"/>
              </w:rPr>
              <w:t>的投资者</w:t>
            </w:r>
            <w:r>
              <w:rPr>
                <w:rFonts w:hint="eastAsia" w:ascii="楷体" w:hAnsi="楷体" w:eastAsia="楷体"/>
                <w:color w:val="auto"/>
                <w:sz w:val="18"/>
                <w:szCs w:val="18"/>
              </w:rPr>
              <w:t>。本评级为</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内部评级，由</w:t>
            </w:r>
            <w:r>
              <w:rPr>
                <w:rFonts w:hint="eastAsia" w:ascii="楷体" w:hAnsi="楷体" w:eastAsia="楷体"/>
                <w:color w:val="auto"/>
                <w:sz w:val="18"/>
                <w:szCs w:val="18"/>
                <w:lang w:val="en-US" w:eastAsia="zh-CN"/>
              </w:rPr>
              <w:t>管理人</w:t>
            </w:r>
            <w:r>
              <w:rPr>
                <w:rFonts w:hint="eastAsia" w:ascii="楷体" w:hAnsi="楷体" w:eastAsia="楷体"/>
                <w:color w:val="auto"/>
                <w:sz w:val="18"/>
                <w:szCs w:val="18"/>
              </w:rPr>
              <w:t>根据理财产品的投资组合、同类产品过往业绩和风险状况等因素，对理财产品进行评级，仅供</w:t>
            </w:r>
            <w:r>
              <w:rPr>
                <w:rFonts w:hint="eastAsia" w:ascii="楷体" w:hAnsi="楷体" w:eastAsia="楷体"/>
                <w:color w:val="auto"/>
                <w:sz w:val="18"/>
                <w:szCs w:val="18"/>
                <w:lang w:val="en-US" w:eastAsia="zh-CN"/>
              </w:rPr>
              <w:t>投资者</w:t>
            </w:r>
            <w:r>
              <w:rPr>
                <w:rFonts w:hint="eastAsia" w:ascii="楷体" w:hAnsi="楷体" w:eastAsia="楷体"/>
                <w:color w:val="auto"/>
                <w:sz w:val="18"/>
                <w:szCs w:val="18"/>
              </w:rPr>
              <w:t>参考。</w:t>
            </w:r>
          </w:p>
          <w:tbl>
            <w:tblPr>
              <w:tblStyle w:val="15"/>
              <w:tblW w:w="4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488"/>
              <w:gridCol w:w="2029"/>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风险星级</w:t>
                  </w:r>
                </w:p>
              </w:tc>
              <w:tc>
                <w:tcPr>
                  <w:tcW w:w="1095"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风险级别</w:t>
                  </w:r>
                </w:p>
              </w:tc>
              <w:tc>
                <w:tcPr>
                  <w:tcW w:w="1493"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适合的投资者类别</w:t>
                  </w:r>
                </w:p>
              </w:tc>
              <w:tc>
                <w:tcPr>
                  <w:tcW w:w="1229"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tcBorders>
                    <w:bottom w:val="single" w:color="auto" w:sz="4" w:space="0"/>
                  </w:tcBorders>
                  <w:vAlign w:val="bottom"/>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tcBorders>
                    <w:bottom w:val="single" w:color="auto" w:sz="4" w:space="0"/>
                  </w:tcBorders>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一级（PR1）</w:t>
                  </w:r>
                </w:p>
              </w:tc>
              <w:tc>
                <w:tcPr>
                  <w:tcW w:w="1493" w:type="pct"/>
                  <w:tcBorders>
                    <w:bottom w:val="single" w:color="auto" w:sz="4" w:space="0"/>
                  </w:tcBorders>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低风险型</w:t>
                  </w:r>
                </w:p>
              </w:tc>
              <w:tc>
                <w:tcPr>
                  <w:tcW w:w="1229" w:type="pct"/>
                  <w:tcBorders>
                    <w:bottom w:val="single" w:color="auto" w:sz="4" w:space="0"/>
                  </w:tcBorders>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w:t>
                  </w:r>
                </w:p>
              </w:tc>
              <w:tc>
                <w:tcPr>
                  <w:tcW w:w="1095"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二级（PR2）</w:t>
                  </w:r>
                </w:p>
              </w:tc>
              <w:tc>
                <w:tcPr>
                  <w:tcW w:w="1493"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中低风险型</w:t>
                  </w:r>
                </w:p>
              </w:tc>
              <w:tc>
                <w:tcPr>
                  <w:tcW w:w="1229"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b/>
                      <w:color w:val="auto"/>
                      <w:kern w:val="0"/>
                      <w:sz w:val="18"/>
                      <w:szCs w:val="18"/>
                    </w:rPr>
                  </w:pPr>
                  <w:r>
                    <w:rPr>
                      <w:rFonts w:hint="eastAsia" w:ascii="楷体" w:hAnsi="楷体" w:eastAsia="楷体" w:cs="浠垮畫"/>
                      <w:b/>
                      <w:color w:val="auto"/>
                      <w:kern w:val="0"/>
                      <w:sz w:val="18"/>
                      <w:szCs w:val="18"/>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三级（PR3）</w:t>
                  </w:r>
                </w:p>
              </w:tc>
              <w:tc>
                <w:tcPr>
                  <w:tcW w:w="1493"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中风险型</w:t>
                  </w:r>
                </w:p>
              </w:tc>
              <w:tc>
                <w:tcPr>
                  <w:tcW w:w="1229"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四级（PR4）</w:t>
                  </w:r>
                </w:p>
              </w:tc>
              <w:tc>
                <w:tcPr>
                  <w:tcW w:w="1493"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中高风险型</w:t>
                  </w:r>
                </w:p>
              </w:tc>
              <w:tc>
                <w:tcPr>
                  <w:tcW w:w="1229"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81" w:type="pct"/>
                  <w:vAlign w:val="bottom"/>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w:t>
                  </w:r>
                </w:p>
              </w:tc>
              <w:tc>
                <w:tcPr>
                  <w:tcW w:w="1095"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五级（PR5）</w:t>
                  </w:r>
                </w:p>
              </w:tc>
              <w:tc>
                <w:tcPr>
                  <w:tcW w:w="1493"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高风险型</w:t>
                  </w:r>
                </w:p>
              </w:tc>
              <w:tc>
                <w:tcPr>
                  <w:tcW w:w="1229" w:type="pct"/>
                  <w:vAlign w:val="center"/>
                </w:tcPr>
                <w:p>
                  <w:pPr>
                    <w:keepNext w:val="0"/>
                    <w:keepLines w:val="0"/>
                    <w:pageBreakBefore w:val="0"/>
                    <w:widowControl w:val="0"/>
                    <w:wordWrap/>
                    <w:topLinePunct w:val="0"/>
                    <w:autoSpaceDE/>
                    <w:autoSpaceDN/>
                    <w:bidi w:val="0"/>
                    <w:adjustRightInd/>
                    <w:snapToGrid/>
                    <w:spacing w:line="0" w:lineRule="atLeast"/>
                    <w:ind w:left="0" w:leftChars="0" w:right="0" w:rightChars="0" w:firstLine="0" w:firstLineChars="0"/>
                    <w:jc w:val="center"/>
                    <w:textAlignment w:val="auto"/>
                    <w:rPr>
                      <w:rFonts w:ascii="楷体" w:hAnsi="楷体" w:eastAsia="楷体" w:cs="浠垮畫"/>
                      <w:color w:val="auto"/>
                      <w:kern w:val="0"/>
                      <w:sz w:val="18"/>
                      <w:szCs w:val="18"/>
                    </w:rPr>
                  </w:pPr>
                  <w:r>
                    <w:rPr>
                      <w:rFonts w:hint="eastAsia" w:ascii="楷体" w:hAnsi="楷体" w:eastAsia="楷体" w:cs="浠垮畫"/>
                      <w:color w:val="auto"/>
                      <w:kern w:val="0"/>
                      <w:sz w:val="18"/>
                      <w:szCs w:val="18"/>
                    </w:rPr>
                    <w:t>风险承受</w:t>
                  </w:r>
                </w:p>
              </w:tc>
            </w:tr>
          </w:tbl>
          <w:p>
            <w:pPr>
              <w:keepNext w:val="0"/>
              <w:keepLines w:val="0"/>
              <w:pageBreakBefore w:val="0"/>
              <w:widowControl w:val="0"/>
              <w:numPr>
                <w:ilvl w:val="-1"/>
                <w:numId w:val="0"/>
              </w:numPr>
              <w:wordWrap/>
              <w:topLinePunct w:val="0"/>
              <w:bidi w:val="0"/>
              <w:snapToGrid/>
              <w:spacing w:line="0" w:lineRule="atLeast"/>
              <w:ind w:left="0" w:leftChars="0" w:right="0" w:rightChars="0" w:firstLine="0" w:firstLineChars="0"/>
              <w:textAlignment w:val="auto"/>
              <w:rPr>
                <w:rFonts w:ascii="楷体" w:hAnsi="楷体" w:eastAsia="楷体"/>
                <w:b/>
                <w:sz w:val="18"/>
                <w:szCs w:val="18"/>
                <w:highlight w:val="none"/>
                <w:u w:val="single"/>
              </w:rPr>
            </w:pPr>
            <w:r>
              <w:rPr>
                <w:rFonts w:hint="eastAsia" w:ascii="楷体" w:hAnsi="楷体" w:eastAsia="楷体"/>
                <w:sz w:val="18"/>
                <w:szCs w:val="18"/>
                <w:highlight w:val="none"/>
                <w:lang w:val="en-US" w:eastAsia="zh-CN"/>
              </w:rPr>
              <w:t>2.</w:t>
            </w:r>
            <w:r>
              <w:rPr>
                <w:rFonts w:hint="eastAsia" w:ascii="楷体" w:hAnsi="楷体" w:eastAsia="楷体"/>
                <w:sz w:val="18"/>
                <w:szCs w:val="18"/>
                <w:highlight w:val="none"/>
              </w:rPr>
              <w:t>如本产品通过代理销售机构渠道销售，代理销售机构应当根据本机构的方式和方法，依据理财产品的投资组合、同类产品过往业绩和风险状况等因素，独立、审慎地对代理销售的理财产品进行销售评级，并向苏银理财及时、准确提供本机构销售评级结果等信息。销售评级与苏银理财产品评级结果不一致的，代理销售机构应当采用对应较高风险等级的评级结果并予以披露。</w:t>
            </w:r>
            <w:r>
              <w:rPr>
                <w:rFonts w:hint="eastAsia" w:ascii="楷体" w:hAnsi="楷体" w:eastAsia="楷体"/>
                <w:b/>
                <w:bCs/>
                <w:sz w:val="18"/>
                <w:szCs w:val="18"/>
                <w:highlight w:val="none"/>
                <w:u w:val="single"/>
              </w:rPr>
              <w:t>如本产品通过代理销售机构渠道销售，</w:t>
            </w:r>
            <w:r>
              <w:rPr>
                <w:rFonts w:hint="eastAsia" w:ascii="楷体" w:hAnsi="楷体" w:eastAsia="楷体"/>
                <w:b/>
                <w:sz w:val="18"/>
                <w:szCs w:val="18"/>
                <w:highlight w:val="none"/>
                <w:u w:val="single"/>
              </w:rPr>
              <w:t>理财产品评级以代理销售机构最终披露的评级结果为准。</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ascii="楷体" w:hAnsi="楷体" w:eastAsia="楷体" w:cs="宋体"/>
                <w:spacing w:val="-2"/>
                <w:sz w:val="18"/>
                <w:szCs w:val="18"/>
              </w:rPr>
            </w:pPr>
            <w:r>
              <w:rPr>
                <w:rFonts w:hint="eastAsia" w:ascii="楷体" w:hAnsi="楷体" w:eastAsia="楷体"/>
                <w:color w:val="auto"/>
                <w:sz w:val="18"/>
                <w:szCs w:val="18"/>
                <w:lang w:val="en-US" w:eastAsia="zh-CN"/>
              </w:rPr>
              <w:t>3.</w:t>
            </w:r>
            <w:r>
              <w:rPr>
                <w:rFonts w:hint="eastAsia" w:ascii="楷体" w:hAnsi="楷体" w:eastAsia="楷体"/>
                <w:color w:val="auto"/>
                <w:sz w:val="18"/>
                <w:szCs w:val="18"/>
              </w:rPr>
              <w:t>销售机构负责完成投资者风险承受能力评估，并在遵循投资者适当性原则的前提下进行本理财产品的销售活动。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ascii="楷体" w:hAnsi="楷体" w:eastAsia="楷体" w:cs="宋体"/>
                <w:b/>
                <w:spacing w:val="-2"/>
                <w:sz w:val="18"/>
                <w:szCs w:val="18"/>
              </w:rPr>
            </w:pPr>
            <w:r>
              <w:rPr>
                <w:rFonts w:hint="eastAsia" w:ascii="楷体" w:hAnsi="楷体" w:eastAsia="楷体" w:cs="宋体"/>
                <w:b/>
                <w:spacing w:val="-2"/>
                <w:sz w:val="18"/>
                <w:szCs w:val="18"/>
              </w:rPr>
              <w:t>销售对象</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个人和机构</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其中C份额销售机构江苏银行个人投资者仅限代发工资客户；新资金客户及新客户，新资金的达标条件为“客户前一日资产时点余额”较“前一月末资产月日均余额”的新增额大于5万元，新客户是指首次购买苏银理财理财产品的客户；50周岁及以上客户；机构投资者具体以销售机构设置为准。</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D份额销售机构江苏银行个人投资者仅限财富客户购买，江苏银行财富客户指在江苏银行日均资产大于等于200万元的个人客户；机构投资者具体以销售机构设置为准。</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default" w:ascii="楷体" w:hAnsi="楷体" w:eastAsia="楷体" w:cs="宋体"/>
                <w:spacing w:val="-2"/>
                <w:sz w:val="18"/>
                <w:szCs w:val="18"/>
                <w:highlight w:val="none"/>
                <w:lang w:val="en-US" w:eastAsia="zh-CN"/>
              </w:rPr>
            </w:pPr>
            <w:r>
              <w:rPr>
                <w:rFonts w:hint="eastAsia" w:ascii="楷体" w:hAnsi="楷体" w:eastAsia="楷体" w:cs="宋体"/>
                <w:spacing w:val="-2"/>
                <w:sz w:val="18"/>
                <w:szCs w:val="18"/>
                <w:highlight w:val="none"/>
                <w:lang w:val="en-US" w:eastAsia="zh-CN"/>
              </w:rPr>
              <w:t>T份额面向高净值客户和白名单客户销售，具体以销售机构设置为准。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ascii="楷体" w:hAnsi="楷体" w:eastAsia="楷体" w:cs="宋体"/>
                <w:b/>
                <w:spacing w:val="-2"/>
                <w:sz w:val="18"/>
                <w:szCs w:val="18"/>
              </w:rPr>
            </w:pPr>
            <w:r>
              <w:rPr>
                <w:rFonts w:hint="eastAsia" w:ascii="楷体" w:hAnsi="楷体" w:eastAsia="楷体" w:cs="宋体"/>
                <w:b/>
                <w:spacing w:val="-2"/>
                <w:sz w:val="18"/>
                <w:szCs w:val="18"/>
              </w:rPr>
              <w:t>币种</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ascii="楷体" w:hAnsi="楷体" w:eastAsia="楷体" w:cs="宋体"/>
                <w:spacing w:val="-2"/>
                <w:sz w:val="18"/>
                <w:szCs w:val="18"/>
              </w:rPr>
            </w:pPr>
            <w:r>
              <w:rPr>
                <w:rFonts w:hint="eastAsia" w:ascii="楷体" w:hAnsi="楷体" w:eastAsia="楷体" w:cs="宋体"/>
                <w:spacing w:val="-2"/>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eastAsia" w:ascii="楷体" w:hAnsi="楷体" w:eastAsia="楷体" w:cs="宋体"/>
                <w:b/>
                <w:spacing w:val="-2"/>
                <w:kern w:val="0"/>
                <w:sz w:val="18"/>
                <w:szCs w:val="18"/>
                <w:lang w:val="en-US" w:eastAsia="zh-CN" w:bidi="ar-SA"/>
              </w:rPr>
            </w:pPr>
            <w:r>
              <w:rPr>
                <w:rFonts w:hint="eastAsia" w:ascii="楷体" w:hAnsi="楷体" w:eastAsia="楷体" w:cs="宋体"/>
                <w:b/>
                <w:spacing w:val="-2"/>
                <w:sz w:val="18"/>
                <w:szCs w:val="18"/>
              </w:rPr>
              <w:t>份额面值</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kern w:val="0"/>
                <w:sz w:val="18"/>
                <w:szCs w:val="18"/>
                <w:lang w:val="en-US" w:eastAsia="zh-CN" w:bidi="ar-SA"/>
              </w:rPr>
            </w:pPr>
            <w:r>
              <w:rPr>
                <w:rFonts w:hint="eastAsia" w:ascii="楷体" w:hAnsi="楷体" w:eastAsia="楷体" w:cs="宋体"/>
                <w:spacing w:val="-2"/>
                <w:sz w:val="18"/>
                <w:szCs w:val="18"/>
                <w:lang w:eastAsia="zh-CN"/>
              </w:rPr>
              <w:t>1元</w:t>
            </w:r>
            <w:r>
              <w:rPr>
                <w:rFonts w:hint="eastAsia" w:ascii="楷体" w:hAnsi="楷体" w:eastAsia="楷体" w:cs="宋体"/>
                <w:spacing w:val="-2"/>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eastAsia" w:ascii="楷体" w:hAnsi="楷体" w:eastAsia="楷体" w:cs="宋体"/>
                <w:b/>
                <w:spacing w:val="-2"/>
                <w:sz w:val="18"/>
                <w:szCs w:val="18"/>
                <w:highlight w:val="none"/>
              </w:rPr>
            </w:pPr>
            <w:r>
              <w:rPr>
                <w:rFonts w:hint="eastAsia" w:ascii="楷体" w:hAnsi="楷体" w:eastAsia="楷体" w:cs="宋体"/>
                <w:b/>
                <w:spacing w:val="-2"/>
                <w:sz w:val="18"/>
                <w:szCs w:val="18"/>
                <w:highlight w:val="none"/>
              </w:rPr>
              <w:t>投资周期</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default" w:ascii="楷体" w:hAnsi="楷体" w:eastAsia="楷体" w:cs="宋体"/>
                <w:b/>
                <w:spacing w:val="-2"/>
                <w:sz w:val="18"/>
                <w:szCs w:val="18"/>
                <w:highlight w:val="none"/>
                <w:lang w:val="en-US" w:eastAsia="zh-CN"/>
              </w:rPr>
            </w:pPr>
            <w:r>
              <w:rPr>
                <w:rFonts w:hint="eastAsia" w:ascii="楷体" w:hAnsi="楷体" w:eastAsia="楷体" w:cs="宋体"/>
                <w:spacing w:val="-2"/>
                <w:sz w:val="18"/>
                <w:szCs w:val="18"/>
                <w:highlight w:val="none"/>
                <w:lang w:val="en-US" w:eastAsia="zh-CN"/>
              </w:rPr>
              <w:t>1年左右，具体天数以实际投资为准。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701"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pacing w:line="0" w:lineRule="atLeast"/>
              <w:ind w:left="0" w:leftChars="0"/>
              <w:jc w:val="both"/>
              <w:textAlignment w:val="auto"/>
              <w:rPr>
                <w:rFonts w:hint="eastAsia" w:ascii="楷体" w:hAnsi="楷体" w:eastAsia="楷体" w:cs="宋体"/>
                <w:b/>
                <w:spacing w:val="-2"/>
                <w:sz w:val="18"/>
                <w:szCs w:val="18"/>
              </w:rPr>
            </w:pPr>
            <w:r>
              <w:rPr>
                <w:rFonts w:hint="eastAsia" w:ascii="楷体" w:hAnsi="楷体" w:eastAsia="楷体" w:cs="宋体"/>
                <w:b/>
                <w:spacing w:val="-2"/>
                <w:sz w:val="18"/>
                <w:szCs w:val="18"/>
              </w:rPr>
              <w:t>计划发行规模</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textAlignment w:val="auto"/>
              <w:rPr>
                <w:rFonts w:hint="eastAsia" w:ascii="楷体" w:hAnsi="楷体" w:eastAsia="楷体" w:cs="宋体"/>
                <w:spacing w:val="-2"/>
                <w:sz w:val="18"/>
                <w:szCs w:val="18"/>
              </w:rPr>
            </w:pPr>
            <w:r>
              <w:rPr>
                <w:rFonts w:hint="eastAsia" w:ascii="楷体" w:hAnsi="楷体" w:eastAsia="楷体" w:cs="宋体"/>
                <w:spacing w:val="-2"/>
                <w:sz w:val="18"/>
                <w:szCs w:val="18"/>
                <w:lang w:val="en-US" w:eastAsia="zh-CN"/>
              </w:rPr>
              <w:t>本产品计划发行规模为</w:t>
            </w:r>
            <w:r>
              <w:rPr>
                <w:rFonts w:hint="eastAsia" w:ascii="楷体" w:hAnsi="楷体" w:eastAsia="楷体" w:cs="宋体"/>
                <w:spacing w:val="-2"/>
                <w:sz w:val="18"/>
                <w:szCs w:val="18"/>
                <w:highlight w:val="none"/>
                <w:lang w:val="en-US" w:eastAsia="zh-CN"/>
              </w:rPr>
              <w:t>500000万元</w:t>
            </w:r>
            <w:r>
              <w:rPr>
                <w:rFonts w:hint="eastAsia" w:ascii="楷体" w:hAnsi="楷体" w:eastAsia="楷体" w:cs="宋体"/>
                <w:spacing w:val="-2"/>
                <w:sz w:val="18"/>
                <w:szCs w:val="18"/>
                <w:lang w:val="en-US" w:eastAsia="zh-CN"/>
              </w:rPr>
              <w:t>，管理人有权根据实际需要调整计划发行规模。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1701"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pacing w:line="0" w:lineRule="atLeast"/>
              <w:ind w:left="0" w:leftChars="0"/>
              <w:jc w:val="both"/>
              <w:textAlignment w:val="auto"/>
              <w:rPr>
                <w:rFonts w:hint="eastAsia" w:ascii="楷体" w:hAnsi="楷体" w:eastAsia="楷体" w:cs="宋体"/>
                <w:b/>
                <w:spacing w:val="-2"/>
                <w:sz w:val="18"/>
                <w:szCs w:val="18"/>
              </w:rPr>
            </w:pPr>
            <w:r>
              <w:rPr>
                <w:rFonts w:hint="eastAsia" w:ascii="楷体" w:hAnsi="楷体" w:eastAsia="楷体" w:cs="宋体"/>
                <w:b/>
                <w:spacing w:val="-2"/>
                <w:sz w:val="18"/>
                <w:szCs w:val="18"/>
              </w:rPr>
              <w:t>最低发行规模</w:t>
            </w:r>
          </w:p>
        </w:tc>
        <w:tc>
          <w:tcPr>
            <w:tcW w:w="7937" w:type="dxa"/>
            <w:noWrap w:val="0"/>
            <w:vAlign w:val="center"/>
          </w:tcPr>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cs="宋体"/>
                <w:spacing w:val="-2"/>
                <w:sz w:val="18"/>
                <w:szCs w:val="18"/>
                <w:lang w:val="en-US" w:eastAsia="zh-CN"/>
              </w:rPr>
            </w:pPr>
            <w:r>
              <w:rPr>
                <w:rFonts w:hint="eastAsia" w:ascii="楷体" w:hAnsi="楷体" w:eastAsia="楷体" w:cs="宋体"/>
                <w:spacing w:val="-2"/>
                <w:sz w:val="18"/>
                <w:szCs w:val="18"/>
              </w:rPr>
              <w:t>本产品最低发行规模为</w:t>
            </w:r>
            <w:r>
              <w:rPr>
                <w:rFonts w:hint="eastAsia" w:ascii="楷体" w:hAnsi="楷体" w:eastAsia="楷体" w:cs="宋体"/>
                <w:spacing w:val="-2"/>
                <w:sz w:val="18"/>
                <w:szCs w:val="18"/>
                <w:highlight w:val="none"/>
                <w:lang w:val="en-US" w:eastAsia="zh-CN"/>
              </w:rPr>
              <w:t>3000万</w:t>
            </w:r>
            <w:r>
              <w:rPr>
                <w:rFonts w:hint="eastAsia" w:ascii="楷体" w:hAnsi="楷体" w:eastAsia="楷体" w:cs="宋体"/>
                <w:spacing w:val="-2"/>
                <w:sz w:val="18"/>
                <w:szCs w:val="18"/>
                <w:highlight w:val="none"/>
              </w:rPr>
              <w:t>元</w:t>
            </w:r>
            <w:r>
              <w:rPr>
                <w:rFonts w:hint="eastAsia" w:ascii="楷体" w:hAnsi="楷体" w:eastAsia="楷体" w:cs="宋体"/>
                <w:spacing w:val="-2"/>
                <w:sz w:val="18"/>
                <w:szCs w:val="18"/>
              </w:rPr>
              <w:t>，管理人有权根据实际需要调整最低发行规模。若产品认购规模未达到最低发行规模，或新的法律、法规或监管政策导致本产品无法合法合规运行，或出现其他导致影响产品成立不可抗力因素，产品管理人有权利但无义务宣布产品不成立，并于产品募集期结束后5个工作日内将投资者认购资金返还至投资者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701"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pacing w:line="0" w:lineRule="atLeast"/>
              <w:ind w:left="0" w:leftChars="0"/>
              <w:jc w:val="both"/>
              <w:textAlignment w:val="auto"/>
              <w:rPr>
                <w:rFonts w:ascii="楷体" w:hAnsi="楷体" w:eastAsia="楷体" w:cs="宋体"/>
                <w:b/>
                <w:spacing w:val="-2"/>
                <w:sz w:val="18"/>
                <w:szCs w:val="18"/>
              </w:rPr>
            </w:pPr>
            <w:r>
              <w:rPr>
                <w:rFonts w:hint="eastAsia" w:ascii="楷体" w:hAnsi="楷体" w:eastAsia="楷体" w:cs="宋体"/>
                <w:b/>
                <w:spacing w:val="-2"/>
                <w:sz w:val="18"/>
                <w:szCs w:val="18"/>
              </w:rPr>
              <w:t>购买起点</w:t>
            </w:r>
            <w:r>
              <w:rPr>
                <w:rFonts w:ascii="楷体" w:hAnsi="楷体" w:eastAsia="楷体" w:cs="宋体"/>
                <w:b/>
                <w:spacing w:val="-2"/>
                <w:sz w:val="18"/>
                <w:szCs w:val="18"/>
              </w:rPr>
              <w:t>/</w:t>
            </w:r>
            <w:r>
              <w:rPr>
                <w:rFonts w:hint="eastAsia" w:ascii="楷体" w:hAnsi="楷体" w:eastAsia="楷体" w:cs="宋体"/>
                <w:b/>
                <w:spacing w:val="-2"/>
                <w:sz w:val="18"/>
                <w:szCs w:val="18"/>
              </w:rPr>
              <w:t>追加金额</w:t>
            </w:r>
          </w:p>
        </w:tc>
        <w:tc>
          <w:tcPr>
            <w:tcW w:w="7937" w:type="dxa"/>
            <w:noWrap w:val="0"/>
            <w:vAlign w:val="center"/>
          </w:tcPr>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highlight w:val="none"/>
              </w:rPr>
            </w:pPr>
            <w:r>
              <w:rPr>
                <w:rFonts w:hint="eastAsia" w:ascii="楷体" w:hAnsi="楷体" w:eastAsia="楷体"/>
                <w:sz w:val="18"/>
                <w:szCs w:val="18"/>
                <w:highlight w:val="none"/>
              </w:rPr>
              <w:t>A份额</w:t>
            </w:r>
            <w:r>
              <w:rPr>
                <w:rFonts w:hint="eastAsia" w:ascii="楷体" w:hAnsi="楷体" w:eastAsia="楷体"/>
                <w:sz w:val="18"/>
                <w:szCs w:val="18"/>
                <w:highlight w:val="none"/>
                <w:lang w:eastAsia="zh-CN"/>
              </w:rPr>
              <w:t>：</w:t>
            </w:r>
            <w:r>
              <w:rPr>
                <w:rFonts w:hint="eastAsia" w:ascii="楷体" w:hAnsi="楷体" w:eastAsia="楷体"/>
                <w:sz w:val="18"/>
                <w:szCs w:val="18"/>
                <w:highlight w:val="none"/>
              </w:rPr>
              <w:t>100元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highlight w:val="none"/>
              </w:rPr>
            </w:pPr>
            <w:r>
              <w:rPr>
                <w:rFonts w:hint="eastAsia" w:ascii="楷体" w:hAnsi="楷体" w:eastAsia="楷体"/>
                <w:sz w:val="18"/>
                <w:szCs w:val="18"/>
                <w:highlight w:val="none"/>
              </w:rPr>
              <w:t>B份额</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200,000元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highlight w:val="none"/>
              </w:rPr>
            </w:pPr>
            <w:r>
              <w:rPr>
                <w:rFonts w:hint="eastAsia" w:ascii="楷体" w:hAnsi="楷体" w:eastAsia="楷体"/>
                <w:sz w:val="18"/>
                <w:szCs w:val="18"/>
                <w:highlight w:val="none"/>
              </w:rPr>
              <w:t>C份额</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highlight w:val="none"/>
              </w:rPr>
            </w:pPr>
            <w:r>
              <w:rPr>
                <w:rFonts w:hint="eastAsia" w:ascii="楷体" w:hAnsi="楷体" w:eastAsia="楷体"/>
                <w:sz w:val="18"/>
                <w:szCs w:val="18"/>
                <w:highlight w:val="none"/>
              </w:rPr>
              <w:t>D份额</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个人投资者：500,000元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10,000元的整数倍</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机构投资者：</w:t>
            </w:r>
            <w:r>
              <w:rPr>
                <w:rFonts w:hint="eastAsia" w:ascii="楷体" w:hAnsi="楷体" w:eastAsia="楷体"/>
                <w:sz w:val="18"/>
                <w:szCs w:val="18"/>
                <w:highlight w:val="none"/>
                <w:lang w:val="en-US" w:eastAsia="zh-CN"/>
              </w:rPr>
              <w:t>3</w:t>
            </w:r>
            <w:r>
              <w:rPr>
                <w:rFonts w:hint="eastAsia" w:ascii="楷体" w:hAnsi="楷体" w:eastAsia="楷体"/>
                <w:sz w:val="18"/>
                <w:szCs w:val="18"/>
                <w:highlight w:val="none"/>
              </w:rPr>
              <w:t>0,000,000元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highlight w:val="none"/>
              </w:rPr>
            </w:pPr>
            <w:r>
              <w:rPr>
                <w:rFonts w:hint="eastAsia" w:ascii="楷体" w:hAnsi="楷体" w:eastAsia="楷体"/>
                <w:sz w:val="18"/>
                <w:szCs w:val="18"/>
                <w:highlight w:val="none"/>
              </w:rPr>
              <w:t>F份额</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highlight w:val="none"/>
              </w:rPr>
            </w:pPr>
            <w:r>
              <w:rPr>
                <w:rFonts w:hint="eastAsia" w:ascii="楷体" w:hAnsi="楷体" w:eastAsia="楷体"/>
                <w:sz w:val="18"/>
                <w:szCs w:val="18"/>
                <w:highlight w:val="none"/>
              </w:rPr>
              <w:t>G份额</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highlight w:val="none"/>
              </w:rPr>
            </w:pPr>
            <w:r>
              <w:rPr>
                <w:rFonts w:hint="eastAsia" w:ascii="楷体" w:hAnsi="楷体" w:eastAsia="楷体"/>
                <w:sz w:val="18"/>
                <w:szCs w:val="18"/>
                <w:highlight w:val="none"/>
              </w:rPr>
              <w:t>J份额</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500,000元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default" w:ascii="楷体" w:hAnsi="楷体" w:eastAsia="楷体"/>
                <w:sz w:val="18"/>
                <w:szCs w:val="18"/>
                <w:highlight w:val="none"/>
                <w:lang w:val="en-US" w:eastAsia="zh-CN"/>
              </w:rPr>
            </w:pPr>
            <w:r>
              <w:rPr>
                <w:rFonts w:hint="eastAsia" w:ascii="楷体" w:hAnsi="楷体" w:eastAsia="楷体"/>
                <w:sz w:val="18"/>
                <w:szCs w:val="18"/>
                <w:highlight w:val="none"/>
                <w:lang w:val="en-US" w:eastAsia="zh-CN"/>
              </w:rPr>
              <w:t>K份额：</w:t>
            </w:r>
            <w:r>
              <w:rPr>
                <w:rFonts w:hint="eastAsia" w:ascii="楷体" w:hAnsi="楷体" w:eastAsia="楷体"/>
                <w:sz w:val="18"/>
                <w:szCs w:val="18"/>
                <w:highlight w:val="none"/>
              </w:rPr>
              <w:t>100元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highlight w:val="none"/>
              </w:rPr>
            </w:pPr>
            <w:r>
              <w:rPr>
                <w:rFonts w:hint="eastAsia" w:ascii="楷体" w:hAnsi="楷体" w:eastAsia="楷体"/>
                <w:sz w:val="18"/>
                <w:szCs w:val="18"/>
                <w:highlight w:val="none"/>
              </w:rPr>
              <w:t>P份额</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default" w:ascii="楷体" w:hAnsi="楷体" w:eastAsia="楷体"/>
                <w:sz w:val="18"/>
                <w:szCs w:val="18"/>
                <w:highlight w:val="none"/>
                <w:lang w:val="en-US" w:eastAsia="zh-CN"/>
              </w:rPr>
            </w:pPr>
            <w:r>
              <w:rPr>
                <w:rFonts w:hint="eastAsia" w:ascii="楷体" w:hAnsi="楷体" w:eastAsia="楷体"/>
                <w:sz w:val="18"/>
                <w:szCs w:val="18"/>
                <w:highlight w:val="none"/>
                <w:lang w:val="en-US" w:eastAsia="zh-CN"/>
              </w:rPr>
              <w:t>T份额：</w:t>
            </w:r>
            <w:r>
              <w:rPr>
                <w:rFonts w:hint="eastAsia" w:ascii="楷体" w:hAnsi="楷体" w:eastAsia="楷体"/>
                <w:sz w:val="18"/>
                <w:szCs w:val="18"/>
                <w:highlight w:val="none"/>
              </w:rPr>
              <w:t>500,000元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highlight w:val="none"/>
              </w:rPr>
            </w:pPr>
            <w:r>
              <w:rPr>
                <w:rFonts w:hint="eastAsia" w:ascii="楷体" w:hAnsi="楷体" w:eastAsia="楷体"/>
                <w:sz w:val="18"/>
                <w:szCs w:val="18"/>
                <w:highlight w:val="none"/>
              </w:rPr>
              <w:t>ZA份额</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highlight w:val="none"/>
              </w:rPr>
            </w:pPr>
            <w:r>
              <w:rPr>
                <w:rFonts w:hint="eastAsia" w:ascii="楷体" w:hAnsi="楷体" w:eastAsia="楷体"/>
                <w:sz w:val="18"/>
                <w:szCs w:val="18"/>
                <w:highlight w:val="none"/>
              </w:rPr>
              <w:t>ZF份额</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highlight w:val="none"/>
              </w:rPr>
            </w:pPr>
            <w:r>
              <w:rPr>
                <w:rFonts w:hint="eastAsia" w:ascii="楷体" w:hAnsi="楷体" w:eastAsia="楷体"/>
                <w:sz w:val="18"/>
                <w:szCs w:val="18"/>
                <w:highlight w:val="none"/>
              </w:rPr>
              <w:t>ZN份额</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100元的整数倍</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sz w:val="18"/>
                <w:szCs w:val="18"/>
              </w:rPr>
            </w:pPr>
            <w:r>
              <w:rPr>
                <w:rFonts w:hint="eastAsia" w:ascii="楷体" w:hAnsi="楷体" w:eastAsia="楷体"/>
                <w:sz w:val="18"/>
                <w:szCs w:val="18"/>
                <w:highlight w:val="none"/>
              </w:rPr>
              <w:t>ZQ份额</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w:t>
            </w:r>
            <w:r>
              <w:rPr>
                <w:rFonts w:hint="eastAsia" w:ascii="楷体" w:hAnsi="楷体" w:eastAsia="楷体"/>
                <w:sz w:val="18"/>
                <w:szCs w:val="18"/>
                <w:highlight w:val="none"/>
                <w:lang w:val="en-US" w:eastAsia="zh-CN"/>
              </w:rPr>
              <w:t>/</w:t>
            </w:r>
            <w:r>
              <w:rPr>
                <w:rFonts w:hint="eastAsia" w:ascii="楷体" w:hAnsi="楷体" w:eastAsia="楷体"/>
                <w:sz w:val="18"/>
                <w:szCs w:val="18"/>
                <w:highlight w:val="none"/>
              </w:rPr>
              <w:t>100元的整数倍</w:t>
            </w:r>
            <w:r>
              <w:rPr>
                <w:rFonts w:hint="eastAsia" w:ascii="楷体" w:hAnsi="楷体" w:eastAsia="楷体"/>
                <w:sz w:val="18"/>
                <w:szCs w:val="18"/>
              </w:rPr>
              <w:t>。</w:t>
            </w:r>
          </w:p>
          <w:p>
            <w:pPr>
              <w:keepNext w:val="0"/>
              <w:keepLines w:val="0"/>
              <w:pageBreakBefore w:val="0"/>
              <w:widowControl w:val="0"/>
              <w:wordWrap/>
              <w:topLinePunct w:val="0"/>
              <w:bidi w:val="0"/>
              <w:snapToGrid/>
              <w:spacing w:line="0" w:lineRule="atLeast"/>
              <w:ind w:left="0" w:leftChars="0" w:right="0" w:rightChars="0"/>
              <w:jc w:val="left"/>
              <w:textAlignment w:val="auto"/>
              <w:rPr>
                <w:rFonts w:hint="eastAsia" w:ascii="楷体" w:hAnsi="楷体" w:eastAsia="楷体" w:cs="宋体"/>
                <w:spacing w:val="-2"/>
                <w:sz w:val="18"/>
                <w:szCs w:val="18"/>
                <w:lang w:eastAsia="zh-CN"/>
              </w:rPr>
            </w:pPr>
            <w:r>
              <w:rPr>
                <w:rFonts w:hint="eastAsia" w:ascii="楷体" w:hAnsi="楷体" w:eastAsia="楷体"/>
                <w:sz w:val="18"/>
                <w:szCs w:val="18"/>
              </w:rPr>
              <w:t>苏银理财有权对上述起点金额和</w:t>
            </w:r>
            <w:r>
              <w:rPr>
                <w:rFonts w:hint="eastAsia" w:ascii="楷体" w:hAnsi="楷体" w:eastAsia="楷体"/>
                <w:sz w:val="18"/>
                <w:szCs w:val="18"/>
                <w:lang w:val="en-US" w:eastAsia="zh-CN"/>
              </w:rPr>
              <w:t>追加</w:t>
            </w:r>
            <w:r>
              <w:rPr>
                <w:rFonts w:hint="eastAsia" w:ascii="楷体" w:hAnsi="楷体" w:eastAsia="楷体"/>
                <w:sz w:val="18"/>
                <w:szCs w:val="18"/>
              </w:rPr>
              <w:t>金额进行调整，并在调整前进行公告。</w:t>
            </w:r>
            <w:r>
              <w:rPr>
                <w:rFonts w:hint="eastAsia" w:ascii="楷体" w:hAnsi="楷体" w:eastAsia="楷体"/>
                <w:sz w:val="18"/>
                <w:szCs w:val="18"/>
                <w:lang w:eastAsia="zh-CN"/>
              </w:rPr>
              <w:t>（</w:t>
            </w:r>
            <w:r>
              <w:rPr>
                <w:rFonts w:hint="eastAsia" w:ascii="楷体" w:hAnsi="楷体" w:eastAsia="楷体"/>
                <w:sz w:val="18"/>
                <w:szCs w:val="18"/>
              </w:rPr>
              <w:t>具体以销售机构设置为准。</w:t>
            </w:r>
            <w:r>
              <w:rPr>
                <w:rFonts w:hint="eastAsia" w:ascii="楷体" w:hAnsi="楷体" w:eastAsia="楷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eastAsia" w:ascii="楷体" w:hAnsi="楷体" w:eastAsia="楷体" w:cs="宋体"/>
                <w:b/>
                <w:spacing w:val="-2"/>
                <w:sz w:val="18"/>
                <w:szCs w:val="18"/>
              </w:rPr>
            </w:pPr>
            <w:r>
              <w:rPr>
                <w:rFonts w:hint="eastAsia" w:ascii="楷体" w:hAnsi="楷体" w:eastAsia="楷体" w:cs="宋体"/>
                <w:b/>
                <w:spacing w:val="-2"/>
                <w:sz w:val="18"/>
                <w:szCs w:val="18"/>
              </w:rPr>
              <w:t>募集期</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sz w:val="18"/>
                <w:szCs w:val="18"/>
              </w:rPr>
            </w:pPr>
            <w:r>
              <w:rPr>
                <w:rFonts w:hint="eastAsia" w:ascii="楷体" w:hAnsi="楷体" w:eastAsia="楷体" w:cs="宋体"/>
                <w:spacing w:val="-2"/>
                <w:sz w:val="18"/>
                <w:szCs w:val="18"/>
              </w:rPr>
              <w:t>2022年8月30日至2022年9月5日</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投资者可于募集期结束日交易闭市前撤销认购申请，该时点后不得撤销，募集期结束日交易闭市时间具体以销售机构设置为准。管理人在法律允许的范围内保留延长募集期或缩短募集期的权利。如有变动，实际产品募集期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701"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pacing w:line="0" w:lineRule="atLeast"/>
              <w:jc w:val="both"/>
              <w:textAlignment w:val="auto"/>
              <w:rPr>
                <w:rFonts w:hint="eastAsia" w:ascii="楷体" w:hAnsi="楷体" w:eastAsia="楷体" w:cs="宋体"/>
                <w:b/>
                <w:spacing w:val="-2"/>
                <w:sz w:val="18"/>
                <w:szCs w:val="18"/>
              </w:rPr>
            </w:pPr>
            <w:r>
              <w:rPr>
                <w:rFonts w:hint="eastAsia" w:ascii="楷体" w:hAnsi="楷体" w:eastAsia="楷体" w:cs="宋体"/>
                <w:b/>
                <w:spacing w:val="-2"/>
                <w:sz w:val="18"/>
                <w:szCs w:val="18"/>
              </w:rPr>
              <w:t>产品成立日</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textAlignment w:val="auto"/>
              <w:rPr>
                <w:rFonts w:hint="eastAsia" w:ascii="楷体" w:hAnsi="楷体" w:eastAsia="楷体" w:cs="宋体"/>
                <w:spacing w:val="-2"/>
                <w:sz w:val="18"/>
                <w:szCs w:val="18"/>
              </w:rPr>
            </w:pPr>
            <w:r>
              <w:rPr>
                <w:rFonts w:hint="eastAsia" w:ascii="楷体" w:hAnsi="楷体" w:eastAsia="楷体" w:cs="宋体"/>
                <w:spacing w:val="-2"/>
                <w:sz w:val="18"/>
                <w:szCs w:val="18"/>
                <w:lang w:eastAsia="zh-CN"/>
              </w:rPr>
              <w:t>2022年9月6日。</w:t>
            </w:r>
            <w:r>
              <w:rPr>
                <w:rFonts w:hint="eastAsia" w:ascii="楷体" w:hAnsi="楷体" w:eastAsia="楷体" w:cs="宋体"/>
                <w:spacing w:val="-2"/>
                <w:sz w:val="18"/>
                <w:szCs w:val="18"/>
              </w:rPr>
              <w:t>如管理人调整募集期，则产品成立日将相应调整，以管理人公告为准。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701"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napToGrid/>
              <w:spacing w:before="0" w:line="0" w:lineRule="atLeast"/>
              <w:ind w:left="0" w:leftChars="0"/>
              <w:jc w:val="both"/>
              <w:textAlignment w:val="auto"/>
              <w:rPr>
                <w:rFonts w:hint="eastAsia" w:ascii="楷体" w:hAnsi="楷体" w:eastAsia="楷体" w:cs="宋体"/>
                <w:b/>
                <w:color w:val="auto"/>
                <w:spacing w:val="-2"/>
                <w:sz w:val="18"/>
                <w:szCs w:val="18"/>
                <w:lang w:val="en-US" w:eastAsia="zh-CN"/>
              </w:rPr>
            </w:pPr>
            <w:r>
              <w:rPr>
                <w:rFonts w:hint="eastAsia" w:ascii="楷体" w:hAnsi="楷体" w:eastAsia="楷体" w:cs="宋体"/>
                <w:b/>
                <w:color w:val="auto"/>
                <w:spacing w:val="-2"/>
                <w:sz w:val="18"/>
                <w:szCs w:val="18"/>
              </w:rPr>
              <w:t>产品</w:t>
            </w:r>
            <w:r>
              <w:rPr>
                <w:rFonts w:hint="eastAsia" w:ascii="楷体" w:hAnsi="楷体" w:eastAsia="楷体" w:cs="宋体"/>
                <w:b/>
                <w:color w:val="auto"/>
                <w:spacing w:val="-2"/>
                <w:sz w:val="18"/>
                <w:szCs w:val="18"/>
                <w:lang w:val="en-US" w:eastAsia="zh-CN"/>
              </w:rPr>
              <w:t>终止日/</w:t>
            </w:r>
          </w:p>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eastAsia" w:ascii="楷体" w:hAnsi="楷体" w:eastAsia="楷体" w:cs="宋体"/>
                <w:b/>
                <w:spacing w:val="-2"/>
                <w:sz w:val="18"/>
                <w:szCs w:val="18"/>
              </w:rPr>
            </w:pPr>
            <w:r>
              <w:rPr>
                <w:rFonts w:hint="eastAsia" w:ascii="楷体" w:hAnsi="楷体" w:eastAsia="楷体" w:cs="宋体"/>
                <w:b/>
                <w:color w:val="auto"/>
                <w:spacing w:val="-2"/>
                <w:sz w:val="18"/>
                <w:szCs w:val="18"/>
              </w:rPr>
              <w:t>到期日</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sz w:val="18"/>
                <w:szCs w:val="18"/>
              </w:rPr>
            </w:pPr>
            <w:r>
              <w:rPr>
                <w:rFonts w:hint="eastAsia" w:ascii="楷体" w:hAnsi="楷体" w:eastAsia="楷体" w:cs="宋体"/>
                <w:color w:val="auto"/>
                <w:spacing w:val="-2"/>
                <w:sz w:val="18"/>
                <w:szCs w:val="18"/>
                <w:lang w:eastAsia="zh-CN"/>
              </w:rPr>
              <w:t>2032年9月29日，</w:t>
            </w:r>
            <w:r>
              <w:rPr>
                <w:rFonts w:hint="eastAsia" w:ascii="楷体" w:hAnsi="楷体" w:eastAsia="楷体" w:cs="宋体"/>
                <w:color w:val="auto"/>
                <w:spacing w:val="-2"/>
                <w:sz w:val="18"/>
                <w:szCs w:val="18"/>
              </w:rPr>
              <w:t>如遇节假日，顺延至下一工作日</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rPr>
              <w:t>在符合产品说明书约定的条件下，管理人有权</w:t>
            </w:r>
            <w:r>
              <w:rPr>
                <w:rFonts w:hint="eastAsia" w:ascii="楷体" w:hAnsi="楷体" w:eastAsia="楷体" w:cs="宋体"/>
                <w:color w:val="auto"/>
                <w:spacing w:val="-2"/>
                <w:sz w:val="18"/>
                <w:szCs w:val="18"/>
                <w:lang w:val="en-US" w:eastAsia="zh-CN"/>
              </w:rPr>
              <w:t>调整产品到期日</w:t>
            </w:r>
            <w:r>
              <w:rPr>
                <w:rFonts w:hint="eastAsia" w:ascii="楷体" w:hAnsi="楷体" w:eastAsia="楷体" w:cs="宋体"/>
                <w:color w:val="auto"/>
                <w:spacing w:val="-2"/>
                <w:sz w:val="18"/>
                <w:szCs w:val="18"/>
              </w:rPr>
              <w:t>，产品到期日受制于提前终止</w:t>
            </w:r>
            <w:r>
              <w:rPr>
                <w:rFonts w:hint="eastAsia" w:ascii="楷体" w:hAnsi="楷体" w:eastAsia="楷体" w:cs="宋体"/>
                <w:color w:val="auto"/>
                <w:spacing w:val="-2"/>
                <w:sz w:val="18"/>
                <w:szCs w:val="18"/>
                <w:lang w:eastAsia="zh-CN"/>
              </w:rPr>
              <w:t>、</w:t>
            </w:r>
            <w:r>
              <w:rPr>
                <w:rFonts w:hint="eastAsia" w:ascii="楷体" w:hAnsi="楷体" w:eastAsia="楷体" w:cs="宋体"/>
                <w:color w:val="auto"/>
                <w:spacing w:val="-2"/>
                <w:sz w:val="18"/>
                <w:szCs w:val="18"/>
                <w:lang w:val="en-US" w:eastAsia="zh-CN"/>
              </w:rPr>
              <w:t>延期终止</w:t>
            </w:r>
            <w:r>
              <w:rPr>
                <w:rFonts w:hint="eastAsia" w:ascii="楷体" w:hAnsi="楷体" w:eastAsia="楷体" w:cs="宋体"/>
                <w:color w:val="auto"/>
                <w:spacing w:val="-2"/>
                <w:sz w:val="18"/>
                <w:szCs w:val="18"/>
              </w:rPr>
              <w:t>条款。详见下文“产品终止”。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eastAsia" w:ascii="楷体" w:hAnsi="楷体" w:eastAsia="楷体" w:cs="宋体"/>
                <w:b/>
                <w:spacing w:val="-2"/>
                <w:sz w:val="18"/>
                <w:szCs w:val="18"/>
                <w:highlight w:val="yellow"/>
              </w:rPr>
            </w:pPr>
            <w:r>
              <w:rPr>
                <w:rFonts w:hint="eastAsia" w:ascii="楷体" w:hAnsi="楷体" w:eastAsia="楷体" w:cs="宋体"/>
                <w:b/>
                <w:spacing w:val="-2"/>
                <w:sz w:val="18"/>
                <w:szCs w:val="18"/>
                <w:highlight w:val="none"/>
              </w:rPr>
              <w:t>开放计划</w:t>
            </w:r>
          </w:p>
        </w:tc>
        <w:tc>
          <w:tcPr>
            <w:tcW w:w="7937" w:type="dxa"/>
            <w:noWrap w:val="0"/>
            <w:vAlign w:val="center"/>
          </w:tcPr>
          <w:p>
            <w:pPr>
              <w:pStyle w:val="34"/>
              <w:keepNext w:val="0"/>
              <w:keepLines w:val="0"/>
              <w:pageBreakBefore w:val="0"/>
              <w:widowControl w:val="0"/>
              <w:numPr>
                <w:ilvl w:val="0"/>
                <w:numId w:val="0"/>
              </w:numPr>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b/>
                <w:bCs/>
                <w:spacing w:val="-2"/>
                <w:sz w:val="18"/>
                <w:szCs w:val="18"/>
                <w:u w:val="single"/>
                <w:lang w:val="en-US" w:eastAsia="zh-CN"/>
              </w:rPr>
            </w:pPr>
            <w:r>
              <w:rPr>
                <w:rFonts w:hint="eastAsia" w:ascii="楷体" w:hAnsi="楷体" w:eastAsia="楷体" w:cs="宋体"/>
                <w:spacing w:val="-2"/>
                <w:sz w:val="18"/>
                <w:szCs w:val="18"/>
                <w:highlight w:val="none"/>
                <w:lang w:val="en-US" w:eastAsia="zh-CN"/>
              </w:rPr>
              <w:t>本产品</w:t>
            </w:r>
            <w:r>
              <w:rPr>
                <w:rFonts w:hint="eastAsia" w:ascii="楷体" w:hAnsi="楷体" w:eastAsia="楷体" w:cs="宋体"/>
                <w:spacing w:val="-2"/>
                <w:sz w:val="18"/>
                <w:szCs w:val="18"/>
                <w:highlight w:val="none"/>
              </w:rPr>
              <w:t>按投资周期开放申购与赎回，</w:t>
            </w:r>
            <w:r>
              <w:rPr>
                <w:rFonts w:hint="eastAsia" w:ascii="楷体" w:hAnsi="楷体" w:eastAsia="楷体" w:cs="宋体"/>
                <w:spacing w:val="-2"/>
                <w:sz w:val="18"/>
                <w:szCs w:val="18"/>
                <w:highlight w:val="none"/>
                <w:lang w:val="en-US" w:eastAsia="zh-CN"/>
              </w:rPr>
              <w:t>最新投资周期（2025年9月19日-2026年10月26日）开放申购与赎回时间为：</w:t>
            </w:r>
            <w:r>
              <w:rPr>
                <w:rFonts w:hint="eastAsia" w:ascii="楷体" w:hAnsi="楷体" w:eastAsia="楷体" w:cs="宋体"/>
                <w:b/>
                <w:bCs/>
                <w:spacing w:val="-2"/>
                <w:sz w:val="18"/>
                <w:szCs w:val="18"/>
                <w:highlight w:val="none"/>
                <w:lang w:val="en-US" w:eastAsia="zh-CN"/>
              </w:rPr>
              <w:t>2025年9月10日至2025年9月18日（</w:t>
            </w:r>
            <w:r>
              <w:rPr>
                <w:rFonts w:hint="eastAsia" w:ascii="楷体" w:hAnsi="楷体" w:eastAsia="楷体" w:cs="宋体"/>
                <w:spacing w:val="-2"/>
                <w:sz w:val="18"/>
                <w:szCs w:val="18"/>
                <w:highlight w:val="none"/>
              </w:rPr>
              <w:t>以各销售机构设置的时间为准</w:t>
            </w:r>
            <w:r>
              <w:rPr>
                <w:rFonts w:hint="eastAsia" w:ascii="楷体" w:hAnsi="楷体" w:eastAsia="楷体" w:cs="宋体"/>
                <w:b/>
                <w:bCs/>
                <w:spacing w:val="-2"/>
                <w:sz w:val="18"/>
                <w:szCs w:val="18"/>
                <w:highlight w:val="none"/>
                <w:lang w:val="en-US" w:eastAsia="zh-CN"/>
              </w:rPr>
              <w:t>）。</w:t>
            </w:r>
            <w:r>
              <w:rPr>
                <w:rFonts w:hint="eastAsia" w:ascii="楷体" w:hAnsi="楷体" w:eastAsia="楷体" w:cs="宋体"/>
                <w:spacing w:val="-2"/>
                <w:sz w:val="18"/>
                <w:szCs w:val="18"/>
                <w:highlight w:val="none"/>
              </w:rPr>
              <w:t>投资者可在</w:t>
            </w:r>
            <w:r>
              <w:rPr>
                <w:rFonts w:hint="eastAsia" w:ascii="楷体" w:hAnsi="楷体" w:eastAsia="楷体" w:cs="宋体"/>
                <w:spacing w:val="-2"/>
                <w:sz w:val="18"/>
                <w:szCs w:val="18"/>
                <w:highlight w:val="none"/>
                <w:lang w:val="en-US" w:eastAsia="zh-CN"/>
              </w:rPr>
              <w:t>此期间提交申购/赎回申请，</w:t>
            </w:r>
            <w:r>
              <w:rPr>
                <w:rFonts w:hint="eastAsia" w:ascii="楷体" w:hAnsi="楷体" w:eastAsia="楷体" w:cs="宋体"/>
                <w:b/>
                <w:bCs/>
                <w:spacing w:val="-2"/>
                <w:sz w:val="18"/>
                <w:szCs w:val="18"/>
                <w:highlight w:val="none"/>
                <w:lang w:val="en-US" w:eastAsia="zh-CN"/>
              </w:rPr>
              <w:t>其中ZA份额/ZF份额/ZN份额/ZQ份额由系统主动发起赎回申请，投资者无须发起赎回申请，</w:t>
            </w:r>
            <w:r>
              <w:rPr>
                <w:rFonts w:hint="eastAsia" w:ascii="楷体" w:hAnsi="楷体" w:eastAsia="楷体" w:cs="宋体"/>
                <w:b w:val="0"/>
                <w:bCs w:val="0"/>
                <w:spacing w:val="-2"/>
                <w:sz w:val="18"/>
                <w:szCs w:val="18"/>
                <w:highlight w:val="none"/>
                <w:lang w:val="en-US" w:eastAsia="zh-CN"/>
              </w:rPr>
              <w:t>投资者</w:t>
            </w:r>
            <w:r>
              <w:rPr>
                <w:rFonts w:hint="eastAsia" w:ascii="楷体" w:hAnsi="楷体" w:eastAsia="楷体" w:cs="宋体"/>
                <w:spacing w:val="-2"/>
                <w:sz w:val="18"/>
                <w:szCs w:val="18"/>
                <w:highlight w:val="none"/>
              </w:rPr>
              <w:t>未赎回的部分自动进入下一个投资周期</w:t>
            </w:r>
            <w:r>
              <w:rPr>
                <w:rFonts w:hint="eastAsia" w:ascii="楷体" w:hAnsi="楷体" w:eastAsia="楷体" w:cs="宋体"/>
                <w:spacing w:val="-2"/>
                <w:sz w:val="18"/>
                <w:szCs w:val="18"/>
                <w:highlight w:val="none"/>
                <w:lang w:eastAsia="zh-CN"/>
              </w:rPr>
              <w:t>。</w:t>
            </w:r>
            <w:r>
              <w:rPr>
                <w:rFonts w:hint="eastAsia" w:ascii="楷体" w:hAnsi="楷体" w:eastAsia="楷体" w:cs="宋体"/>
                <w:b/>
                <w:bCs/>
                <w:spacing w:val="-2"/>
                <w:sz w:val="18"/>
                <w:szCs w:val="18"/>
                <w:u w:val="single"/>
              </w:rPr>
              <w:t>除开放计划外的其他时间，管理人不接受投资者申购、赎回申请</w:t>
            </w:r>
            <w:r>
              <w:rPr>
                <w:rFonts w:hint="eastAsia" w:ascii="楷体" w:hAnsi="楷体" w:eastAsia="楷体" w:cs="宋体"/>
                <w:b/>
                <w:bCs/>
                <w:spacing w:val="-2"/>
                <w:sz w:val="18"/>
                <w:szCs w:val="18"/>
                <w:u w:val="single"/>
                <w:lang w:eastAsia="zh-CN"/>
              </w:rPr>
              <w:t>。</w:t>
            </w:r>
          </w:p>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sz w:val="18"/>
                <w:szCs w:val="18"/>
                <w:highlight w:val="yellow"/>
              </w:rPr>
            </w:pPr>
            <w:r>
              <w:rPr>
                <w:rFonts w:hint="eastAsia" w:ascii="楷体" w:hAnsi="楷体" w:eastAsia="楷体" w:cs="宋体"/>
                <w:spacing w:val="-2"/>
                <w:sz w:val="18"/>
                <w:szCs w:val="18"/>
                <w:highlight w:val="none"/>
              </w:rPr>
              <w:t>管理人有权根据资产运作情况、节假日安排调整开放计划，并在调整前进行公告。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1701"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pacing w:line="0" w:lineRule="atLeast"/>
              <w:ind w:right="0" w:rightChars="0"/>
              <w:jc w:val="both"/>
              <w:textAlignment w:val="auto"/>
              <w:rPr>
                <w:rFonts w:hint="eastAsia" w:ascii="楷体" w:hAnsi="楷体" w:eastAsia="楷体" w:cs="宋体"/>
                <w:b/>
                <w:spacing w:val="-2"/>
                <w:sz w:val="18"/>
                <w:szCs w:val="18"/>
              </w:rPr>
            </w:pPr>
            <w:r>
              <w:rPr>
                <w:rFonts w:hint="eastAsia" w:ascii="楷体" w:hAnsi="楷体" w:eastAsia="楷体" w:cs="宋体"/>
                <w:b/>
                <w:spacing w:val="-2"/>
                <w:sz w:val="18"/>
                <w:szCs w:val="18"/>
              </w:rPr>
              <w:t>单个</w:t>
            </w:r>
            <w:r>
              <w:rPr>
                <w:rFonts w:hint="eastAsia" w:ascii="楷体" w:hAnsi="楷体" w:eastAsia="楷体" w:cs="宋体"/>
                <w:b/>
                <w:spacing w:val="-2"/>
                <w:sz w:val="18"/>
                <w:szCs w:val="18"/>
                <w:lang w:eastAsia="zh-CN"/>
              </w:rPr>
              <w:t>投资者</w:t>
            </w:r>
            <w:r>
              <w:rPr>
                <w:rFonts w:hint="eastAsia" w:ascii="楷体" w:hAnsi="楷体" w:eastAsia="楷体" w:cs="宋体"/>
                <w:b/>
                <w:spacing w:val="-2"/>
                <w:sz w:val="18"/>
                <w:szCs w:val="18"/>
              </w:rPr>
              <w:t>单笔</w:t>
            </w:r>
            <w:r>
              <w:rPr>
                <w:rFonts w:hint="eastAsia" w:ascii="楷体" w:hAnsi="楷体" w:eastAsia="楷体" w:cs="宋体"/>
                <w:b/>
                <w:spacing w:val="-2"/>
                <w:sz w:val="18"/>
                <w:szCs w:val="18"/>
                <w:lang w:val="en-US" w:eastAsia="zh-CN"/>
              </w:rPr>
              <w:t>购买</w:t>
            </w:r>
            <w:r>
              <w:rPr>
                <w:rFonts w:hint="eastAsia" w:ascii="楷体" w:hAnsi="楷体" w:eastAsia="楷体" w:cs="宋体"/>
                <w:b/>
                <w:spacing w:val="-2"/>
                <w:sz w:val="18"/>
                <w:szCs w:val="18"/>
              </w:rPr>
              <w:t>上限</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kern w:val="0"/>
                <w:sz w:val="18"/>
                <w:szCs w:val="18"/>
                <w:lang w:val="en-US" w:eastAsia="zh-CN"/>
              </w:rPr>
            </w:pPr>
            <w:r>
              <w:rPr>
                <w:rFonts w:hint="eastAsia" w:ascii="楷体" w:hAnsi="楷体" w:eastAsia="楷体" w:cs="宋体"/>
                <w:spacing w:val="-2"/>
                <w:sz w:val="18"/>
                <w:szCs w:val="18"/>
                <w:highlight w:val="none"/>
                <w:lang w:val="en-US" w:eastAsia="zh-CN"/>
              </w:rPr>
              <w:t>10000万</w:t>
            </w:r>
            <w:r>
              <w:rPr>
                <w:rFonts w:hint="eastAsia" w:ascii="楷体" w:hAnsi="楷体" w:eastAsia="楷体" w:cs="宋体"/>
                <w:spacing w:val="-2"/>
                <w:sz w:val="18"/>
                <w:szCs w:val="18"/>
                <w:highlight w:val="none"/>
              </w:rPr>
              <w:t>元。</w:t>
            </w:r>
            <w:r>
              <w:rPr>
                <w:rFonts w:hint="eastAsia" w:ascii="楷体" w:hAnsi="楷体" w:eastAsia="楷体" w:cs="宋体"/>
                <w:spacing w:val="-2"/>
                <w:sz w:val="18"/>
                <w:szCs w:val="18"/>
              </w:rPr>
              <w:t>超过购买上限时，管理人有权拒绝投资者</w:t>
            </w:r>
            <w:r>
              <w:rPr>
                <w:rFonts w:hint="eastAsia" w:ascii="楷体" w:hAnsi="楷体" w:eastAsia="楷体" w:cs="宋体"/>
                <w:spacing w:val="-2"/>
                <w:sz w:val="18"/>
                <w:szCs w:val="18"/>
                <w:lang w:val="en-US" w:eastAsia="zh-CN"/>
              </w:rPr>
              <w:t>购买</w:t>
            </w:r>
            <w:r>
              <w:rPr>
                <w:rFonts w:hint="eastAsia" w:ascii="楷体" w:hAnsi="楷体" w:eastAsia="楷体" w:cs="宋体"/>
                <w:spacing w:val="-2"/>
                <w:sz w:val="18"/>
                <w:szCs w:val="18"/>
              </w:rPr>
              <w:t>申请。产品存续期</w:t>
            </w:r>
            <w:r>
              <w:rPr>
                <w:rFonts w:ascii="楷体" w:hAnsi="楷体" w:eastAsia="楷体" w:cs="宋体"/>
                <w:spacing w:val="-2"/>
                <w:sz w:val="18"/>
                <w:szCs w:val="18"/>
              </w:rPr>
              <w:t>内管理人有权根据实际情况调整</w:t>
            </w:r>
            <w:r>
              <w:rPr>
                <w:rFonts w:hint="eastAsia" w:ascii="楷体" w:hAnsi="楷体" w:eastAsia="楷体" w:cs="宋体"/>
                <w:spacing w:val="-2"/>
                <w:sz w:val="18"/>
                <w:szCs w:val="18"/>
              </w:rPr>
              <w:t>单个</w:t>
            </w:r>
            <w:r>
              <w:rPr>
                <w:rFonts w:hint="eastAsia" w:ascii="楷体" w:hAnsi="楷体" w:eastAsia="楷体" w:cs="宋体"/>
                <w:spacing w:val="-2"/>
                <w:sz w:val="18"/>
                <w:szCs w:val="18"/>
                <w:lang w:eastAsia="zh-CN"/>
              </w:rPr>
              <w:t>投资者</w:t>
            </w:r>
            <w:r>
              <w:rPr>
                <w:rFonts w:hint="eastAsia" w:ascii="楷体" w:hAnsi="楷体" w:eastAsia="楷体" w:cs="宋体"/>
                <w:spacing w:val="-2"/>
                <w:sz w:val="18"/>
                <w:szCs w:val="18"/>
              </w:rPr>
              <w:t>单笔购买上限。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01"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pacing w:line="0" w:lineRule="atLeast"/>
              <w:ind w:right="0" w:rightChars="0"/>
              <w:jc w:val="both"/>
              <w:textAlignment w:val="auto"/>
              <w:rPr>
                <w:rFonts w:hint="eastAsia" w:ascii="楷体" w:hAnsi="楷体" w:eastAsia="楷体" w:cs="宋体"/>
                <w:b/>
                <w:spacing w:val="-2"/>
                <w:sz w:val="18"/>
                <w:szCs w:val="18"/>
                <w:highlight w:val="none"/>
              </w:rPr>
            </w:pPr>
            <w:r>
              <w:rPr>
                <w:rFonts w:hint="eastAsia" w:ascii="楷体" w:hAnsi="楷体" w:eastAsia="楷体" w:cs="宋体"/>
                <w:b/>
                <w:spacing w:val="-2"/>
                <w:sz w:val="18"/>
                <w:szCs w:val="18"/>
                <w:highlight w:val="none"/>
              </w:rPr>
              <w:t>单个</w:t>
            </w:r>
            <w:r>
              <w:rPr>
                <w:rFonts w:hint="eastAsia" w:ascii="楷体" w:hAnsi="楷体" w:eastAsia="楷体" w:cs="宋体"/>
                <w:b/>
                <w:spacing w:val="-2"/>
                <w:sz w:val="18"/>
                <w:szCs w:val="18"/>
                <w:highlight w:val="none"/>
                <w:lang w:eastAsia="zh-CN"/>
              </w:rPr>
              <w:t>投资者</w:t>
            </w:r>
            <w:r>
              <w:rPr>
                <w:rFonts w:hint="eastAsia" w:ascii="楷体" w:hAnsi="楷体" w:eastAsia="楷体" w:cs="宋体"/>
                <w:b/>
                <w:spacing w:val="-2"/>
                <w:sz w:val="18"/>
                <w:szCs w:val="18"/>
                <w:highlight w:val="none"/>
                <w:lang w:val="en-US" w:eastAsia="zh-CN"/>
              </w:rPr>
              <w:t>单笔</w:t>
            </w:r>
            <w:r>
              <w:rPr>
                <w:rFonts w:ascii="楷体" w:hAnsi="楷体" w:eastAsia="楷体" w:cs="宋体"/>
                <w:b/>
                <w:spacing w:val="-2"/>
                <w:sz w:val="18"/>
                <w:szCs w:val="18"/>
                <w:highlight w:val="none"/>
              </w:rPr>
              <w:t>赎回</w:t>
            </w:r>
            <w:r>
              <w:rPr>
                <w:rFonts w:hint="eastAsia" w:ascii="楷体" w:hAnsi="楷体" w:eastAsia="楷体" w:cs="宋体"/>
                <w:b/>
                <w:spacing w:val="-2"/>
                <w:sz w:val="18"/>
                <w:szCs w:val="18"/>
                <w:highlight w:val="none"/>
              </w:rPr>
              <w:t>上限</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kern w:val="0"/>
                <w:sz w:val="18"/>
                <w:szCs w:val="18"/>
                <w:highlight w:val="none"/>
                <w:lang w:val="en-US" w:eastAsia="zh-CN"/>
              </w:rPr>
            </w:pPr>
            <w:r>
              <w:rPr>
                <w:rFonts w:hint="eastAsia" w:ascii="楷体" w:hAnsi="楷体" w:eastAsia="楷体" w:cs="宋体"/>
                <w:spacing w:val="-2"/>
                <w:sz w:val="18"/>
                <w:szCs w:val="18"/>
                <w:highlight w:val="none"/>
                <w:lang w:val="en-US" w:eastAsia="zh-CN"/>
              </w:rPr>
              <w:t>10000万</w:t>
            </w:r>
            <w:r>
              <w:rPr>
                <w:rFonts w:hint="eastAsia" w:ascii="楷体" w:hAnsi="楷体" w:eastAsia="楷体" w:cs="宋体"/>
                <w:spacing w:val="-2"/>
                <w:sz w:val="18"/>
                <w:szCs w:val="18"/>
                <w:highlight w:val="none"/>
              </w:rPr>
              <w:t>份。超过</w:t>
            </w:r>
            <w:r>
              <w:rPr>
                <w:rFonts w:ascii="楷体" w:hAnsi="楷体" w:eastAsia="楷体" w:cs="宋体"/>
                <w:spacing w:val="-2"/>
                <w:sz w:val="18"/>
                <w:szCs w:val="18"/>
                <w:highlight w:val="none"/>
              </w:rPr>
              <w:t>赎回</w:t>
            </w:r>
            <w:r>
              <w:rPr>
                <w:rFonts w:hint="eastAsia" w:ascii="楷体" w:hAnsi="楷体" w:eastAsia="楷体" w:cs="宋体"/>
                <w:spacing w:val="-2"/>
                <w:sz w:val="18"/>
                <w:szCs w:val="18"/>
                <w:highlight w:val="none"/>
              </w:rPr>
              <w:t>上限时，管理人有权拒绝投资者</w:t>
            </w:r>
            <w:r>
              <w:rPr>
                <w:rFonts w:ascii="楷体" w:hAnsi="楷体" w:eastAsia="楷体" w:cs="宋体"/>
                <w:spacing w:val="-2"/>
                <w:sz w:val="18"/>
                <w:szCs w:val="18"/>
                <w:highlight w:val="none"/>
              </w:rPr>
              <w:t>赎回</w:t>
            </w:r>
            <w:r>
              <w:rPr>
                <w:rFonts w:hint="eastAsia" w:ascii="楷体" w:hAnsi="楷体" w:eastAsia="楷体" w:cs="宋体"/>
                <w:spacing w:val="-2"/>
                <w:sz w:val="18"/>
                <w:szCs w:val="18"/>
                <w:highlight w:val="none"/>
              </w:rPr>
              <w:t>申请。产品存续期</w:t>
            </w:r>
            <w:r>
              <w:rPr>
                <w:rFonts w:ascii="楷体" w:hAnsi="楷体" w:eastAsia="楷体" w:cs="宋体"/>
                <w:spacing w:val="-2"/>
                <w:sz w:val="18"/>
                <w:szCs w:val="18"/>
                <w:highlight w:val="none"/>
              </w:rPr>
              <w:t>内管理人有权根据实际情况调整</w:t>
            </w:r>
            <w:r>
              <w:rPr>
                <w:rFonts w:hint="eastAsia" w:ascii="楷体" w:hAnsi="楷体" w:eastAsia="楷体" w:cs="宋体"/>
                <w:spacing w:val="-2"/>
                <w:sz w:val="18"/>
                <w:szCs w:val="18"/>
                <w:highlight w:val="none"/>
              </w:rPr>
              <w:t>单个</w:t>
            </w:r>
            <w:r>
              <w:rPr>
                <w:rFonts w:hint="eastAsia" w:ascii="楷体" w:hAnsi="楷体" w:eastAsia="楷体" w:cs="宋体"/>
                <w:spacing w:val="-2"/>
                <w:sz w:val="18"/>
                <w:szCs w:val="18"/>
                <w:highlight w:val="none"/>
                <w:lang w:eastAsia="zh-CN"/>
              </w:rPr>
              <w:t>投资者</w:t>
            </w:r>
            <w:r>
              <w:rPr>
                <w:rFonts w:hint="eastAsia" w:ascii="楷体" w:hAnsi="楷体" w:eastAsia="楷体" w:cs="宋体"/>
                <w:spacing w:val="-2"/>
                <w:sz w:val="18"/>
                <w:szCs w:val="18"/>
                <w:highlight w:val="none"/>
              </w:rPr>
              <w:t>单笔赎回上限。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01" w:type="dxa"/>
            <w:noWrap w:val="0"/>
            <w:vAlign w:val="center"/>
          </w:tcPr>
          <w:p>
            <w:pPr>
              <w:pStyle w:val="34"/>
              <w:keepNext w:val="0"/>
              <w:keepLines w:val="0"/>
              <w:pageBreakBefore w:val="0"/>
              <w:widowControl w:val="0"/>
              <w:kinsoku w:val="0"/>
              <w:wordWrap/>
              <w:overflowPunct w:val="0"/>
              <w:topLinePunct w:val="0"/>
              <w:autoSpaceDE w:val="0"/>
              <w:autoSpaceDN w:val="0"/>
              <w:bidi w:val="0"/>
              <w:adjustRightInd w:val="0"/>
              <w:spacing w:line="0" w:lineRule="atLeast"/>
              <w:ind w:right="0" w:rightChars="0"/>
              <w:jc w:val="both"/>
              <w:textAlignment w:val="auto"/>
              <w:rPr>
                <w:rFonts w:hint="eastAsia" w:ascii="楷体" w:hAnsi="楷体" w:eastAsia="楷体" w:cs="宋体"/>
                <w:b/>
                <w:spacing w:val="-2"/>
                <w:sz w:val="18"/>
                <w:szCs w:val="18"/>
              </w:rPr>
            </w:pPr>
            <w:r>
              <w:rPr>
                <w:rFonts w:hint="eastAsia" w:ascii="楷体" w:hAnsi="楷体" w:eastAsia="楷体" w:cs="宋体"/>
                <w:b/>
                <w:spacing w:val="-2"/>
                <w:sz w:val="18"/>
                <w:szCs w:val="18"/>
              </w:rPr>
              <w:t>单个</w:t>
            </w:r>
            <w:r>
              <w:rPr>
                <w:rFonts w:hint="eastAsia" w:ascii="楷体" w:hAnsi="楷体" w:eastAsia="楷体" w:cs="宋体"/>
                <w:b/>
                <w:spacing w:val="-2"/>
                <w:sz w:val="18"/>
                <w:szCs w:val="18"/>
                <w:lang w:eastAsia="zh-CN"/>
              </w:rPr>
              <w:t>投资者</w:t>
            </w:r>
            <w:r>
              <w:rPr>
                <w:rFonts w:hint="eastAsia" w:ascii="楷体" w:hAnsi="楷体" w:eastAsia="楷体" w:cs="宋体"/>
                <w:b/>
                <w:spacing w:val="-2"/>
                <w:sz w:val="18"/>
                <w:szCs w:val="18"/>
              </w:rPr>
              <w:t>持有比例上限</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kern w:val="0"/>
                <w:sz w:val="18"/>
                <w:szCs w:val="18"/>
                <w:lang w:val="en-US" w:eastAsia="zh-CN"/>
              </w:rPr>
            </w:pPr>
            <w:r>
              <w:rPr>
                <w:rFonts w:hint="eastAsia" w:ascii="楷体" w:hAnsi="楷体" w:eastAsia="楷体" w:cs="宋体"/>
                <w:spacing w:val="-2"/>
                <w:sz w:val="18"/>
                <w:szCs w:val="18"/>
              </w:rPr>
              <w:t>单一投资者持有份额不得超过总份额50%。非因主观因素导致突破前款规定比例限制的，在单一投资者持有份额占理财产品总份额比例降至50%以下之前，不再接受该单一投资者对理财产品的</w:t>
            </w:r>
            <w:r>
              <w:rPr>
                <w:rFonts w:hint="eastAsia" w:ascii="楷体" w:hAnsi="楷体" w:eastAsia="楷体" w:cs="宋体"/>
                <w:spacing w:val="-2"/>
                <w:sz w:val="18"/>
                <w:szCs w:val="18"/>
                <w:lang w:val="en-US" w:eastAsia="zh-CN"/>
              </w:rPr>
              <w:t>购买</w:t>
            </w:r>
            <w:r>
              <w:rPr>
                <w:rFonts w:hint="eastAsia" w:ascii="楷体" w:hAnsi="楷体" w:eastAsia="楷体" w:cs="宋体"/>
                <w:spacing w:val="-2"/>
                <w:sz w:val="18"/>
                <w:szCs w:val="18"/>
              </w:rPr>
              <w:t>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eastAsia" w:ascii="楷体" w:hAnsi="楷体" w:eastAsia="楷体" w:cs="宋体"/>
                <w:b/>
                <w:spacing w:val="-2"/>
                <w:sz w:val="18"/>
                <w:szCs w:val="18"/>
              </w:rPr>
            </w:pPr>
            <w:r>
              <w:rPr>
                <w:rFonts w:hint="eastAsia" w:ascii="楷体" w:hAnsi="楷体" w:eastAsia="楷体" w:cs="宋体"/>
                <w:b/>
                <w:spacing w:val="-2"/>
                <w:sz w:val="18"/>
                <w:szCs w:val="18"/>
              </w:rPr>
              <w:t>巨额申购</w:t>
            </w:r>
          </w:p>
        </w:tc>
        <w:tc>
          <w:tcPr>
            <w:tcW w:w="7937" w:type="dxa"/>
            <w:noWrap w:val="0"/>
            <w:vAlign w:val="center"/>
          </w:tcPr>
          <w:p>
            <w:pPr>
              <w:pStyle w:val="34"/>
              <w:keepNext w:val="0"/>
              <w:keepLines w:val="0"/>
              <w:pageBreakBefore w:val="0"/>
              <w:widowControl w:val="0"/>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sz w:val="18"/>
                <w:szCs w:val="18"/>
              </w:rPr>
            </w:pPr>
            <w:r>
              <w:rPr>
                <w:rFonts w:hint="eastAsia" w:ascii="楷体" w:hAnsi="楷体" w:eastAsia="楷体" w:cs="宋体"/>
                <w:spacing w:val="-2"/>
                <w:kern w:val="0"/>
                <w:sz w:val="18"/>
                <w:szCs w:val="18"/>
              </w:rPr>
              <w:t>本产品单个开放日投资者净申购额（申购申请份额总数扣除赎回申请份额总数）超</w:t>
            </w:r>
            <w:r>
              <w:rPr>
                <w:rFonts w:hint="eastAsia" w:ascii="楷体" w:hAnsi="楷体" w:eastAsia="楷体" w:cs="宋体"/>
                <w:spacing w:val="-2"/>
                <w:kern w:val="0"/>
                <w:sz w:val="18"/>
                <w:szCs w:val="18"/>
                <w:highlight w:val="none"/>
              </w:rPr>
              <w:t>过上一日</w:t>
            </w:r>
            <w:r>
              <w:rPr>
                <w:rFonts w:hint="eastAsia" w:ascii="楷体" w:hAnsi="楷体" w:eastAsia="楷体" w:cs="宋体"/>
                <w:spacing w:val="-2"/>
                <w:kern w:val="0"/>
                <w:sz w:val="18"/>
                <w:szCs w:val="18"/>
                <w:highlight w:val="none"/>
                <w:lang w:val="en-US" w:eastAsia="zh-CN"/>
              </w:rPr>
              <w:t>日终</w:t>
            </w:r>
            <w:r>
              <w:rPr>
                <w:rFonts w:hint="eastAsia" w:ascii="楷体" w:hAnsi="楷体" w:eastAsia="楷体" w:cs="宋体"/>
                <w:spacing w:val="-2"/>
                <w:kern w:val="0"/>
                <w:sz w:val="18"/>
                <w:szCs w:val="18"/>
                <w:highlight w:val="none"/>
              </w:rPr>
              <w:t>份额20%时，即认为发生了巨额申购。</w:t>
            </w:r>
            <w:r>
              <w:rPr>
                <w:rFonts w:hint="eastAsia" w:ascii="楷体" w:hAnsi="楷体" w:eastAsia="楷体" w:cs="宋体"/>
                <w:b/>
                <w:bCs/>
                <w:spacing w:val="-2"/>
                <w:kern w:val="0"/>
                <w:sz w:val="18"/>
                <w:szCs w:val="18"/>
                <w:highlight w:val="none"/>
                <w:u w:val="single"/>
              </w:rPr>
              <w:t>当出现巨额申购时，管理人有权拒绝投资者的全部或部</w:t>
            </w:r>
            <w:r>
              <w:rPr>
                <w:rFonts w:hint="eastAsia" w:ascii="楷体" w:hAnsi="楷体" w:eastAsia="楷体" w:cs="宋体"/>
                <w:b/>
                <w:bCs/>
                <w:spacing w:val="-2"/>
                <w:kern w:val="0"/>
                <w:sz w:val="18"/>
                <w:szCs w:val="18"/>
                <w:u w:val="single"/>
              </w:rPr>
              <w:t>分申购申请。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eastAsia" w:ascii="楷体" w:hAnsi="楷体" w:eastAsia="楷体" w:cs="宋体"/>
                <w:b/>
                <w:spacing w:val="-2"/>
                <w:sz w:val="18"/>
                <w:szCs w:val="18"/>
              </w:rPr>
            </w:pPr>
            <w:r>
              <w:rPr>
                <w:rFonts w:hint="eastAsia" w:ascii="楷体" w:hAnsi="楷体" w:eastAsia="楷体" w:cs="宋体"/>
                <w:b/>
                <w:spacing w:val="-2"/>
                <w:sz w:val="18"/>
                <w:szCs w:val="18"/>
              </w:rPr>
              <w:t>巨额赎回</w:t>
            </w:r>
          </w:p>
        </w:tc>
        <w:tc>
          <w:tcPr>
            <w:tcW w:w="7937" w:type="dxa"/>
            <w:noWrap w:val="0"/>
            <w:vAlign w:val="center"/>
          </w:tcPr>
          <w:p>
            <w:pPr>
              <w:keepNext w:val="0"/>
              <w:keepLines w:val="0"/>
              <w:pageBreakBefore w:val="0"/>
              <w:widowControl w:val="0"/>
              <w:wordWrap/>
              <w:topLinePunct w:val="0"/>
              <w:bidi w:val="0"/>
              <w:snapToGrid w:val="0"/>
              <w:spacing w:line="240" w:lineRule="auto"/>
              <w:ind w:left="21" w:leftChars="10" w:right="21" w:rightChars="10"/>
              <w:jc w:val="both"/>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rPr>
              <w:t>本产品</w:t>
            </w:r>
            <w:r>
              <w:rPr>
                <w:rFonts w:hint="eastAsia" w:ascii="楷体" w:hAnsi="楷体" w:eastAsia="楷体" w:cs="宋体"/>
                <w:b/>
                <w:bCs/>
                <w:spacing w:val="-2"/>
                <w:sz w:val="18"/>
                <w:szCs w:val="18"/>
                <w:u w:val="single"/>
                <w:lang w:val="en-US" w:eastAsia="zh-CN"/>
              </w:rPr>
              <w:t>单</w:t>
            </w:r>
            <w:r>
              <w:rPr>
                <w:rFonts w:hint="eastAsia" w:ascii="楷体" w:hAnsi="楷体" w:eastAsia="楷体" w:cs="宋体"/>
                <w:b/>
                <w:bCs/>
                <w:spacing w:val="-2"/>
                <w:sz w:val="18"/>
                <w:szCs w:val="18"/>
                <w:u w:val="single"/>
              </w:rPr>
              <w:t>个开放日投资者净赎回额（赎回申请份额总数扣除申购申请份额总数）超过</w:t>
            </w:r>
            <w:r>
              <w:rPr>
                <w:rFonts w:hint="eastAsia" w:ascii="楷体" w:hAnsi="楷体" w:eastAsia="楷体" w:cs="宋体"/>
                <w:b/>
                <w:bCs/>
                <w:spacing w:val="-2"/>
                <w:sz w:val="18"/>
                <w:szCs w:val="18"/>
                <w:highlight w:val="none"/>
                <w:u w:val="single"/>
              </w:rPr>
              <w:t>上一日</w:t>
            </w:r>
            <w:r>
              <w:rPr>
                <w:rFonts w:hint="eastAsia" w:ascii="楷体" w:hAnsi="楷体" w:eastAsia="楷体" w:cs="宋体"/>
                <w:b/>
                <w:bCs/>
                <w:spacing w:val="-2"/>
                <w:sz w:val="18"/>
                <w:szCs w:val="18"/>
                <w:highlight w:val="none"/>
                <w:u w:val="single"/>
                <w:lang w:val="en-US" w:eastAsia="zh-CN"/>
              </w:rPr>
              <w:t>日终</w:t>
            </w:r>
            <w:r>
              <w:rPr>
                <w:rFonts w:hint="eastAsia" w:ascii="楷体" w:hAnsi="楷体" w:eastAsia="楷体" w:cs="宋体"/>
                <w:b/>
                <w:bCs/>
                <w:spacing w:val="-2"/>
                <w:sz w:val="18"/>
                <w:szCs w:val="18"/>
                <w:highlight w:val="none"/>
                <w:u w:val="single"/>
              </w:rPr>
              <w:t>份额10%时，即</w:t>
            </w:r>
            <w:r>
              <w:rPr>
                <w:rFonts w:hint="eastAsia" w:ascii="楷体" w:hAnsi="楷体" w:eastAsia="楷体" w:cs="宋体"/>
                <w:b/>
                <w:bCs/>
                <w:spacing w:val="-2"/>
                <w:sz w:val="18"/>
                <w:szCs w:val="18"/>
                <w:highlight w:val="none"/>
                <w:u w:val="single"/>
                <w:lang w:val="en-US" w:eastAsia="zh-CN"/>
              </w:rPr>
              <w:t>认</w:t>
            </w:r>
            <w:r>
              <w:rPr>
                <w:rFonts w:hint="eastAsia" w:ascii="楷体" w:hAnsi="楷体" w:eastAsia="楷体" w:cs="宋体"/>
                <w:b/>
                <w:bCs/>
                <w:spacing w:val="-2"/>
                <w:sz w:val="18"/>
                <w:szCs w:val="18"/>
                <w:highlight w:val="none"/>
                <w:u w:val="single"/>
              </w:rPr>
              <w:t>为发生</w:t>
            </w:r>
            <w:r>
              <w:rPr>
                <w:rFonts w:hint="eastAsia" w:ascii="楷体" w:hAnsi="楷体" w:eastAsia="楷体" w:cs="宋体"/>
                <w:b/>
                <w:bCs/>
                <w:spacing w:val="-2"/>
                <w:sz w:val="18"/>
                <w:szCs w:val="18"/>
                <w:highlight w:val="none"/>
                <w:u w:val="single"/>
                <w:lang w:val="en-US" w:eastAsia="zh-CN"/>
              </w:rPr>
              <w:t>了</w:t>
            </w:r>
            <w:r>
              <w:rPr>
                <w:rFonts w:hint="eastAsia" w:ascii="楷体" w:hAnsi="楷体" w:eastAsia="楷体" w:cs="宋体"/>
                <w:b/>
                <w:bCs/>
                <w:spacing w:val="-2"/>
                <w:sz w:val="18"/>
                <w:szCs w:val="18"/>
                <w:highlight w:val="none"/>
                <w:u w:val="single"/>
              </w:rPr>
              <w:t>巨额赎回。管理人可以根据本产品当时的资产组合状况决定采取全额赎回、部分赎回、</w:t>
            </w:r>
            <w:r>
              <w:rPr>
                <w:rFonts w:ascii="楷体" w:hAnsi="楷体" w:eastAsia="楷体" w:cs="宋体"/>
                <w:b/>
                <w:bCs/>
                <w:spacing w:val="-2"/>
                <w:sz w:val="18"/>
                <w:szCs w:val="18"/>
                <w:highlight w:val="none"/>
                <w:u w:val="single"/>
              </w:rPr>
              <w:t>延期</w:t>
            </w:r>
            <w:r>
              <w:rPr>
                <w:rFonts w:hint="eastAsia" w:ascii="楷体" w:hAnsi="楷体" w:eastAsia="楷体" w:cs="宋体"/>
                <w:b/>
                <w:bCs/>
                <w:spacing w:val="-2"/>
                <w:sz w:val="18"/>
                <w:szCs w:val="18"/>
                <w:highlight w:val="none"/>
                <w:u w:val="single"/>
              </w:rPr>
              <w:t>办理</w:t>
            </w:r>
            <w:r>
              <w:rPr>
                <w:rFonts w:ascii="楷体" w:hAnsi="楷体" w:eastAsia="楷体" w:cs="宋体"/>
                <w:b/>
                <w:bCs/>
                <w:spacing w:val="-2"/>
                <w:sz w:val="18"/>
                <w:szCs w:val="18"/>
                <w:highlight w:val="none"/>
                <w:u w:val="single"/>
              </w:rPr>
              <w:t>巨额赎回</w:t>
            </w:r>
            <w:r>
              <w:rPr>
                <w:rFonts w:hint="eastAsia" w:ascii="楷体" w:hAnsi="楷体" w:eastAsia="楷体" w:cs="宋体"/>
                <w:b/>
                <w:bCs/>
                <w:spacing w:val="-2"/>
                <w:sz w:val="18"/>
                <w:szCs w:val="18"/>
                <w:highlight w:val="none"/>
                <w:u w:val="single"/>
              </w:rPr>
              <w:t>等</w:t>
            </w:r>
            <w:r>
              <w:rPr>
                <w:rFonts w:ascii="楷体" w:hAnsi="楷体" w:eastAsia="楷体" w:cs="宋体"/>
                <w:b/>
                <w:bCs/>
                <w:spacing w:val="-2"/>
                <w:sz w:val="18"/>
                <w:szCs w:val="18"/>
                <w:highlight w:val="none"/>
                <w:u w:val="single"/>
              </w:rPr>
              <w:t>措施</w:t>
            </w:r>
            <w:r>
              <w:rPr>
                <w:rFonts w:hint="eastAsia" w:ascii="楷体" w:hAnsi="楷体" w:eastAsia="楷体" w:cs="宋体"/>
                <w:b/>
                <w:bCs/>
                <w:spacing w:val="-2"/>
                <w:sz w:val="18"/>
                <w:szCs w:val="18"/>
                <w:highlight w:val="none"/>
                <w:u w:val="single"/>
              </w:rPr>
              <w:t>，管理人将在采取</w:t>
            </w:r>
            <w:r>
              <w:rPr>
                <w:rFonts w:ascii="楷体" w:hAnsi="楷体" w:eastAsia="楷体" w:cs="宋体"/>
                <w:b/>
                <w:bCs/>
                <w:spacing w:val="-2"/>
                <w:sz w:val="18"/>
                <w:szCs w:val="18"/>
                <w:highlight w:val="none"/>
                <w:u w:val="single"/>
              </w:rPr>
              <w:t>相关</w:t>
            </w:r>
            <w:r>
              <w:rPr>
                <w:rFonts w:hint="eastAsia" w:ascii="楷体" w:hAnsi="楷体" w:eastAsia="楷体" w:cs="宋体"/>
                <w:b/>
                <w:bCs/>
                <w:spacing w:val="-2"/>
                <w:sz w:val="18"/>
                <w:szCs w:val="18"/>
                <w:highlight w:val="none"/>
                <w:u w:val="single"/>
              </w:rPr>
              <w:t>措施后3个工作日内进行信息披露。</w:t>
            </w:r>
          </w:p>
          <w:p>
            <w:pPr>
              <w:keepNext w:val="0"/>
              <w:keepLines w:val="0"/>
              <w:pageBreakBefore w:val="0"/>
              <w:widowControl w:val="0"/>
              <w:wordWrap/>
              <w:topLinePunct w:val="0"/>
              <w:bidi w:val="0"/>
              <w:snapToGrid w:val="0"/>
              <w:spacing w:line="240" w:lineRule="auto"/>
              <w:ind w:left="21" w:leftChars="10" w:right="21" w:rightChars="10"/>
              <w:jc w:val="both"/>
              <w:textAlignment w:val="auto"/>
              <w:rPr>
                <w:rFonts w:ascii="楷体" w:hAnsi="楷体" w:eastAsia="楷体" w:cs="宋体"/>
                <w:b w:val="0"/>
                <w:bCs/>
                <w:spacing w:val="-2"/>
                <w:sz w:val="18"/>
                <w:szCs w:val="18"/>
                <w:u w:val="none"/>
              </w:rPr>
            </w:pPr>
            <w:r>
              <w:rPr>
                <w:rFonts w:hint="eastAsia" w:ascii="楷体" w:hAnsi="楷体" w:eastAsia="楷体" w:cs="宋体"/>
                <w:b w:val="0"/>
                <w:bCs/>
                <w:spacing w:val="-2"/>
                <w:sz w:val="18"/>
                <w:szCs w:val="18"/>
                <w:u w:val="none"/>
              </w:rPr>
              <w:t>1.全额赎回：当管理人有能力兑付投资者的全部赎回申请时，将在申请确认日按投资者申请赎回份额执行正常赎回程序。</w:t>
            </w:r>
          </w:p>
          <w:p>
            <w:pPr>
              <w:keepNext w:val="0"/>
              <w:keepLines w:val="0"/>
              <w:pageBreakBefore w:val="0"/>
              <w:widowControl w:val="0"/>
              <w:wordWrap/>
              <w:topLinePunct w:val="0"/>
              <w:bidi w:val="0"/>
              <w:snapToGrid w:val="0"/>
              <w:spacing w:line="240" w:lineRule="auto"/>
              <w:ind w:left="21" w:leftChars="10" w:right="21" w:rightChars="10"/>
              <w:jc w:val="both"/>
              <w:textAlignment w:val="auto"/>
              <w:rPr>
                <w:rFonts w:ascii="楷体" w:hAnsi="楷体" w:eastAsia="楷体" w:cs="宋体"/>
                <w:b w:val="0"/>
                <w:bCs/>
                <w:spacing w:val="-2"/>
                <w:sz w:val="18"/>
                <w:szCs w:val="18"/>
                <w:u w:val="none"/>
              </w:rPr>
            </w:pPr>
            <w:r>
              <w:rPr>
                <w:rFonts w:hint="eastAsia" w:ascii="楷体" w:hAnsi="楷体" w:eastAsia="楷体" w:cs="宋体"/>
                <w:b w:val="0"/>
                <w:bCs/>
                <w:spacing w:val="-2"/>
                <w:sz w:val="18"/>
                <w:szCs w:val="18"/>
                <w:u w:val="none"/>
              </w:rPr>
              <w:t>2.部分赎回</w:t>
            </w:r>
            <w:r>
              <w:rPr>
                <w:rFonts w:ascii="楷体" w:hAnsi="楷体" w:eastAsia="楷体" w:cs="宋体"/>
                <w:b w:val="0"/>
                <w:bCs/>
                <w:spacing w:val="-2"/>
                <w:sz w:val="18"/>
                <w:szCs w:val="18"/>
                <w:u w:val="none"/>
              </w:rPr>
              <w:t>：</w:t>
            </w:r>
            <w:r>
              <w:rPr>
                <w:rFonts w:hint="eastAsia" w:ascii="楷体" w:hAnsi="楷体" w:eastAsia="楷体" w:cs="宋体"/>
                <w:b w:val="0"/>
                <w:bCs/>
                <w:spacing w:val="-2"/>
                <w:sz w:val="18"/>
                <w:szCs w:val="18"/>
                <w:u w:val="none"/>
              </w:rPr>
              <w:t>当管理人认为兑付投资者的赎回申请可能会对产品的资产净值造成较大波动时，当日办理的赎回份额不得低于前一</w:t>
            </w:r>
            <w:r>
              <w:rPr>
                <w:rFonts w:hint="eastAsia" w:ascii="楷体" w:hAnsi="楷体" w:eastAsia="楷体" w:cs="宋体"/>
                <w:b w:val="0"/>
                <w:bCs/>
                <w:spacing w:val="-2"/>
                <w:sz w:val="18"/>
                <w:szCs w:val="18"/>
                <w:u w:val="none"/>
                <w:lang w:val="en-US" w:eastAsia="zh-CN"/>
              </w:rPr>
              <w:t>日</w:t>
            </w:r>
            <w:r>
              <w:rPr>
                <w:rFonts w:hint="eastAsia" w:ascii="楷体" w:hAnsi="楷体" w:eastAsia="楷体" w:cs="宋体"/>
                <w:b w:val="0"/>
                <w:bCs/>
                <w:spacing w:val="-2"/>
                <w:sz w:val="18"/>
                <w:szCs w:val="18"/>
                <w:u w:val="none"/>
              </w:rPr>
              <w:t>日终理财产品总份额的10%，对其余赎回申请管理人有权暂停接受或延期办理。对该产品单个</w:t>
            </w:r>
            <w:r>
              <w:rPr>
                <w:rFonts w:hint="eastAsia" w:ascii="楷体" w:hAnsi="楷体" w:eastAsia="楷体" w:cs="宋体"/>
                <w:spacing w:val="-2"/>
                <w:sz w:val="18"/>
                <w:szCs w:val="18"/>
                <w:lang w:val="en-US" w:eastAsia="zh-CN"/>
              </w:rPr>
              <w:t>投资者</w:t>
            </w:r>
            <w:r>
              <w:rPr>
                <w:rFonts w:hint="eastAsia" w:ascii="楷体" w:hAnsi="楷体" w:eastAsia="楷体" w:cs="宋体"/>
                <w:b w:val="0"/>
                <w:bCs/>
                <w:spacing w:val="-2"/>
                <w:sz w:val="18"/>
                <w:szCs w:val="18"/>
                <w:u w:val="none"/>
              </w:rPr>
              <w:t>的赎回申请，按照其申请占当日申请赎回总份额的比例，确定该</w:t>
            </w:r>
            <w:r>
              <w:rPr>
                <w:rFonts w:hint="eastAsia" w:ascii="楷体" w:hAnsi="楷体" w:eastAsia="楷体" w:cs="宋体"/>
                <w:spacing w:val="-2"/>
                <w:sz w:val="18"/>
                <w:szCs w:val="18"/>
                <w:lang w:val="en-US" w:eastAsia="zh-CN"/>
              </w:rPr>
              <w:t>投资者</w:t>
            </w:r>
            <w:r>
              <w:rPr>
                <w:rFonts w:hint="eastAsia" w:ascii="楷体" w:hAnsi="楷体" w:eastAsia="楷体" w:cs="宋体"/>
                <w:b w:val="0"/>
                <w:bCs/>
                <w:spacing w:val="-2"/>
                <w:sz w:val="18"/>
                <w:szCs w:val="18"/>
                <w:u w:val="none"/>
              </w:rPr>
              <w:t>当日办理的赎回份额。</w:t>
            </w:r>
            <w:r>
              <w:rPr>
                <w:rFonts w:hint="eastAsia" w:ascii="楷体" w:hAnsi="楷体" w:eastAsia="楷体" w:cs="宋体"/>
                <w:b w:val="0"/>
                <w:bCs/>
                <w:spacing w:val="-2"/>
                <w:sz w:val="18"/>
                <w:szCs w:val="18"/>
                <w:highlight w:val="none"/>
                <w:u w:val="none"/>
                <w:lang w:eastAsia="zh-CN"/>
              </w:rPr>
              <w:t>（</w:t>
            </w:r>
            <w:r>
              <w:rPr>
                <w:rFonts w:hint="eastAsia" w:ascii="楷体" w:hAnsi="楷体" w:eastAsia="楷体" w:cs="宋体"/>
                <w:b w:val="0"/>
                <w:bCs/>
                <w:spacing w:val="-2"/>
                <w:sz w:val="18"/>
                <w:szCs w:val="18"/>
                <w:highlight w:val="none"/>
                <w:u w:val="none"/>
                <w:lang w:val="en-US" w:eastAsia="zh-CN"/>
              </w:rPr>
              <w:t>示例：某</w:t>
            </w:r>
            <w:r>
              <w:rPr>
                <w:rFonts w:hint="eastAsia" w:ascii="楷体" w:hAnsi="楷体" w:eastAsia="楷体" w:cs="宋体"/>
                <w:spacing w:val="-2"/>
                <w:sz w:val="18"/>
                <w:szCs w:val="18"/>
                <w:lang w:val="en-US" w:eastAsia="zh-CN"/>
              </w:rPr>
              <w:t>投资者</w:t>
            </w:r>
            <w:r>
              <w:rPr>
                <w:rFonts w:hint="eastAsia" w:ascii="楷体" w:hAnsi="楷体" w:eastAsia="楷体" w:cs="宋体"/>
                <w:b w:val="0"/>
                <w:bCs/>
                <w:spacing w:val="-2"/>
                <w:sz w:val="18"/>
                <w:szCs w:val="18"/>
                <w:highlight w:val="none"/>
                <w:u w:val="none"/>
                <w:lang w:val="en-US" w:eastAsia="zh-CN"/>
              </w:rPr>
              <w:t>当日申请赎回份额5万份，当日全部赎回申请10000万份，假设前一日日终总份额50000万份，发生巨额赎回，管理人当日办理的赎回份额5000万份，则该</w:t>
            </w:r>
            <w:r>
              <w:rPr>
                <w:rFonts w:hint="eastAsia" w:ascii="楷体" w:hAnsi="楷体" w:eastAsia="楷体" w:cs="宋体"/>
                <w:spacing w:val="-2"/>
                <w:sz w:val="18"/>
                <w:szCs w:val="18"/>
                <w:lang w:val="en-US" w:eastAsia="zh-CN"/>
              </w:rPr>
              <w:t>投资者</w:t>
            </w:r>
            <w:r>
              <w:rPr>
                <w:rFonts w:hint="eastAsia" w:ascii="楷体" w:hAnsi="楷体" w:eastAsia="楷体" w:cs="宋体"/>
                <w:b w:val="0"/>
                <w:bCs/>
                <w:spacing w:val="-2"/>
                <w:sz w:val="18"/>
                <w:szCs w:val="18"/>
                <w:highlight w:val="none"/>
                <w:u w:val="none"/>
                <w:lang w:val="en-US" w:eastAsia="zh-CN"/>
              </w:rPr>
              <w:t>当日确认办理的份额为5/10000*5000=2.5万份</w:t>
            </w:r>
            <w:r>
              <w:rPr>
                <w:rFonts w:hint="eastAsia" w:ascii="楷体" w:hAnsi="楷体" w:eastAsia="楷体" w:cs="宋体"/>
                <w:b w:val="0"/>
                <w:bCs/>
                <w:spacing w:val="-2"/>
                <w:sz w:val="18"/>
                <w:szCs w:val="18"/>
                <w:highlight w:val="none"/>
                <w:u w:val="none"/>
              </w:rPr>
              <w:t>。</w:t>
            </w:r>
            <w:r>
              <w:rPr>
                <w:rFonts w:hint="eastAsia" w:ascii="楷体" w:hAnsi="楷体" w:eastAsia="楷体" w:cs="宋体"/>
                <w:b w:val="0"/>
                <w:bCs/>
                <w:spacing w:val="-2"/>
                <w:sz w:val="18"/>
                <w:szCs w:val="18"/>
                <w:highlight w:val="none"/>
                <w:u w:val="none"/>
                <w:lang w:val="en-US" w:eastAsia="zh-CN"/>
              </w:rPr>
              <w:t>）</w:t>
            </w:r>
          </w:p>
          <w:p>
            <w:pPr>
              <w:keepNext w:val="0"/>
              <w:keepLines w:val="0"/>
              <w:pageBreakBefore w:val="0"/>
              <w:widowControl w:val="0"/>
              <w:wordWrap/>
              <w:topLinePunct w:val="0"/>
              <w:bidi w:val="0"/>
              <w:snapToGrid w:val="0"/>
              <w:spacing w:line="240" w:lineRule="auto"/>
              <w:ind w:left="21" w:leftChars="10" w:right="21" w:rightChars="10"/>
              <w:jc w:val="both"/>
              <w:textAlignment w:val="auto"/>
              <w:rPr>
                <w:rFonts w:hint="eastAsia" w:ascii="楷体" w:hAnsi="楷体" w:eastAsia="楷体" w:cs="宋体"/>
                <w:b w:val="0"/>
                <w:bCs/>
                <w:spacing w:val="-2"/>
                <w:sz w:val="18"/>
                <w:szCs w:val="18"/>
                <w:u w:val="none"/>
              </w:rPr>
            </w:pPr>
            <w:r>
              <w:rPr>
                <w:rFonts w:hint="eastAsia" w:ascii="楷体" w:hAnsi="楷体" w:eastAsia="楷体" w:cs="宋体"/>
                <w:b w:val="0"/>
                <w:bCs/>
                <w:spacing w:val="-2"/>
                <w:sz w:val="18"/>
                <w:szCs w:val="18"/>
                <w:u w:val="none"/>
              </w:rPr>
              <w:t>若管理人对于超过10%以上部分的赎回申请选择延期办理，对于未能赎回部分，投资者可选择将当日未获办理的赎回申请予以撤销。投资者未选择撤销的，管理人有权延期至下一个开放日办理，延期至下一个开放日办理的赎回价格为下一个开放日的价格，顺延至下一开放日的赎回申请不享有优先确认权。</w:t>
            </w:r>
          </w:p>
          <w:p>
            <w:pPr>
              <w:keepNext w:val="0"/>
              <w:keepLines w:val="0"/>
              <w:pageBreakBefore w:val="0"/>
              <w:widowControl w:val="0"/>
              <w:wordWrap/>
              <w:topLinePunct w:val="0"/>
              <w:bidi w:val="0"/>
              <w:snapToGrid/>
              <w:spacing w:line="0" w:lineRule="atLeast"/>
              <w:ind w:left="0" w:leftChars="0" w:right="0" w:rightChars="0"/>
              <w:textAlignment w:val="auto"/>
              <w:rPr>
                <w:rFonts w:ascii="楷体" w:hAnsi="楷体" w:eastAsia="楷体" w:cs="宋体"/>
                <w:b/>
                <w:spacing w:val="-2"/>
                <w:sz w:val="18"/>
                <w:szCs w:val="18"/>
                <w:u w:val="single"/>
              </w:rPr>
            </w:pPr>
            <w:r>
              <w:rPr>
                <w:rFonts w:hint="eastAsia" w:ascii="楷体" w:hAnsi="楷体" w:eastAsia="楷体" w:cs="宋体"/>
                <w:b w:val="0"/>
                <w:bCs/>
                <w:spacing w:val="-2"/>
                <w:sz w:val="18"/>
                <w:szCs w:val="18"/>
                <w:u w:val="none"/>
              </w:rPr>
              <w:t>3.延缓支付赎回款项：连续2个以上开放日发生巨额赎回的，管理人除有权选择全额赎回或部分赎回等措施外，对于已经接受的赎回申请，管理人可以延缓支付赎回款项，但延缓期限不得超过20个工作日。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eastAsia" w:ascii="楷体" w:hAnsi="楷体" w:eastAsia="楷体" w:cs="宋体"/>
                <w:b/>
                <w:spacing w:val="-2"/>
                <w:sz w:val="18"/>
                <w:szCs w:val="18"/>
              </w:rPr>
            </w:pPr>
            <w:r>
              <w:rPr>
                <w:rFonts w:hint="eastAsia" w:ascii="楷体" w:hAnsi="楷体" w:eastAsia="楷体" w:cs="宋体"/>
                <w:b/>
                <w:spacing w:val="-2"/>
                <w:sz w:val="18"/>
                <w:szCs w:val="18"/>
              </w:rPr>
              <w:t>业绩比较基准（年化）</w:t>
            </w:r>
          </w:p>
        </w:tc>
        <w:tc>
          <w:tcPr>
            <w:tcW w:w="7937" w:type="dxa"/>
            <w:noWrap w:val="0"/>
            <w:vAlign w:val="center"/>
          </w:tcPr>
          <w:p>
            <w:pPr>
              <w:pStyle w:val="34"/>
              <w:keepNext w:val="0"/>
              <w:keepLines w:val="0"/>
              <w:pageBreakBefore w:val="0"/>
              <w:widowControl w:val="0"/>
              <w:numPr>
                <w:ilvl w:val="0"/>
                <w:numId w:val="0"/>
              </w:numPr>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b/>
                <w:bCs/>
                <w:spacing w:val="-2"/>
                <w:sz w:val="18"/>
                <w:szCs w:val="18"/>
                <w:u w:val="single"/>
              </w:rPr>
            </w:pPr>
            <w:r>
              <w:rPr>
                <w:rFonts w:hint="eastAsia" w:ascii="楷体" w:hAnsi="楷体" w:eastAsia="楷体" w:cs="宋体"/>
                <w:b/>
                <w:bCs/>
                <w:spacing w:val="-2"/>
                <w:sz w:val="18"/>
                <w:szCs w:val="18"/>
                <w:u w:val="single"/>
                <w:lang w:val="en-US" w:eastAsia="zh-CN"/>
              </w:rPr>
              <w:t>1.管理人</w:t>
            </w:r>
            <w:r>
              <w:rPr>
                <w:rFonts w:ascii="楷体" w:hAnsi="楷体" w:eastAsia="楷体" w:cs="宋体"/>
                <w:b/>
                <w:bCs/>
                <w:spacing w:val="-2"/>
                <w:sz w:val="18"/>
                <w:szCs w:val="18"/>
                <w:u w:val="single"/>
              </w:rPr>
              <w:t>参考过往投资经验，依据近期货币市场工具、</w:t>
            </w:r>
            <w:r>
              <w:rPr>
                <w:rFonts w:hint="eastAsia" w:ascii="楷体" w:hAnsi="楷体" w:eastAsia="楷体" w:cs="宋体"/>
                <w:b/>
                <w:bCs/>
                <w:spacing w:val="-2"/>
                <w:sz w:val="18"/>
                <w:szCs w:val="18"/>
                <w:u w:val="single"/>
                <w:lang w:val="en-US" w:eastAsia="zh-CN"/>
              </w:rPr>
              <w:t>银行存款（含结构性存款）、</w:t>
            </w:r>
            <w:r>
              <w:rPr>
                <w:rFonts w:ascii="楷体" w:hAnsi="楷体" w:eastAsia="楷体" w:cs="宋体"/>
                <w:b/>
                <w:bCs/>
                <w:spacing w:val="-2"/>
                <w:sz w:val="18"/>
                <w:szCs w:val="18"/>
                <w:u w:val="single"/>
              </w:rPr>
              <w:t>债券</w:t>
            </w:r>
            <w:r>
              <w:rPr>
                <w:rFonts w:hint="eastAsia" w:ascii="楷体" w:hAnsi="楷体" w:eastAsia="楷体" w:cs="宋体"/>
                <w:b/>
                <w:bCs/>
                <w:spacing w:val="-2"/>
                <w:sz w:val="18"/>
                <w:szCs w:val="18"/>
                <w:u w:val="single"/>
              </w:rPr>
              <w:t>、非标准化债权</w:t>
            </w:r>
            <w:r>
              <w:rPr>
                <w:rFonts w:ascii="楷体" w:hAnsi="楷体" w:eastAsia="楷体" w:cs="宋体"/>
                <w:b/>
                <w:bCs/>
                <w:spacing w:val="-2"/>
                <w:sz w:val="18"/>
                <w:szCs w:val="18"/>
                <w:highlight w:val="none"/>
                <w:u w:val="single"/>
              </w:rPr>
              <w:t>等</w:t>
            </w:r>
            <w:r>
              <w:rPr>
                <w:rFonts w:ascii="楷体" w:hAnsi="楷体" w:eastAsia="楷体" w:cs="宋体"/>
                <w:b/>
                <w:bCs/>
                <w:spacing w:val="-2"/>
                <w:sz w:val="18"/>
                <w:szCs w:val="18"/>
                <w:u w:val="single"/>
              </w:rPr>
              <w:t>资产</w:t>
            </w:r>
            <w:r>
              <w:rPr>
                <w:rFonts w:hint="eastAsia" w:ascii="楷体" w:hAnsi="楷体" w:eastAsia="楷体" w:cs="宋体"/>
                <w:b/>
                <w:bCs/>
                <w:spacing w:val="-2"/>
                <w:sz w:val="18"/>
                <w:szCs w:val="18"/>
                <w:u w:val="single"/>
              </w:rPr>
              <w:t>投资</w:t>
            </w:r>
            <w:r>
              <w:rPr>
                <w:rFonts w:ascii="楷体" w:hAnsi="楷体" w:eastAsia="楷体" w:cs="宋体"/>
                <w:b/>
                <w:bCs/>
                <w:spacing w:val="-2"/>
                <w:sz w:val="18"/>
                <w:szCs w:val="18"/>
                <w:u w:val="single"/>
              </w:rPr>
              <w:t>收益水平，在产品说明书约定的投资范围和投资比例内</w:t>
            </w:r>
            <w:r>
              <w:rPr>
                <w:rFonts w:hint="eastAsia" w:ascii="楷体" w:hAnsi="楷体" w:eastAsia="楷体" w:cs="宋体"/>
                <w:b/>
                <w:bCs/>
                <w:spacing w:val="-2"/>
                <w:sz w:val="18"/>
                <w:szCs w:val="18"/>
                <w:u w:val="single"/>
              </w:rPr>
              <w:t>，综合考虑各</w:t>
            </w:r>
            <w:r>
              <w:rPr>
                <w:rFonts w:hint="eastAsia" w:ascii="楷体" w:hAnsi="楷体" w:eastAsia="楷体" w:cs="宋体"/>
                <w:b/>
                <w:bCs/>
                <w:spacing w:val="-2"/>
                <w:sz w:val="18"/>
                <w:szCs w:val="18"/>
                <w:u w:val="single"/>
                <w:lang w:val="en-US" w:eastAsia="zh-CN"/>
              </w:rPr>
              <w:t>类</w:t>
            </w:r>
            <w:r>
              <w:rPr>
                <w:rFonts w:hint="eastAsia" w:ascii="楷体" w:hAnsi="楷体" w:eastAsia="楷体" w:cs="宋体"/>
                <w:b/>
                <w:bCs/>
                <w:spacing w:val="-2"/>
                <w:sz w:val="18"/>
                <w:szCs w:val="18"/>
                <w:u w:val="single"/>
              </w:rPr>
              <w:t>份额收取的销售服务费和投资管理费</w:t>
            </w:r>
            <w:r>
              <w:rPr>
                <w:rFonts w:hint="eastAsia" w:ascii="楷体" w:hAnsi="楷体" w:eastAsia="楷体" w:cs="宋体"/>
                <w:b/>
                <w:bCs/>
                <w:spacing w:val="-2"/>
                <w:sz w:val="18"/>
                <w:szCs w:val="18"/>
                <w:u w:val="single"/>
                <w:lang w:val="en-US" w:eastAsia="zh-CN"/>
              </w:rPr>
              <w:t>等费用</w:t>
            </w:r>
            <w:r>
              <w:rPr>
                <w:rFonts w:hint="eastAsia" w:ascii="楷体" w:hAnsi="楷体" w:eastAsia="楷体" w:cs="宋体"/>
                <w:b/>
                <w:bCs/>
                <w:spacing w:val="-2"/>
                <w:sz w:val="18"/>
                <w:szCs w:val="18"/>
                <w:u w:val="single"/>
              </w:rPr>
              <w:t>情况，</w:t>
            </w:r>
            <w:r>
              <w:rPr>
                <w:rFonts w:ascii="楷体" w:hAnsi="楷体" w:eastAsia="楷体" w:cs="宋体"/>
                <w:b/>
                <w:bCs/>
                <w:spacing w:val="-2"/>
                <w:sz w:val="18"/>
                <w:szCs w:val="18"/>
                <w:u w:val="single"/>
              </w:rPr>
              <w:t>模拟测算得出</w:t>
            </w:r>
            <w:r>
              <w:rPr>
                <w:rFonts w:hint="eastAsia" w:ascii="楷体" w:hAnsi="楷体" w:eastAsia="楷体" w:cs="宋体"/>
                <w:b/>
                <w:bCs/>
                <w:spacing w:val="-2"/>
                <w:sz w:val="18"/>
                <w:szCs w:val="18"/>
                <w:u w:val="single"/>
              </w:rPr>
              <w:t>业绩比较基准。</w:t>
            </w:r>
          </w:p>
          <w:p>
            <w:pPr>
              <w:pStyle w:val="34"/>
              <w:keepNext w:val="0"/>
              <w:keepLines w:val="0"/>
              <w:pageBreakBefore w:val="0"/>
              <w:widowControl w:val="0"/>
              <w:numPr>
                <w:ilvl w:val="0"/>
                <w:numId w:val="0"/>
              </w:numPr>
              <w:kinsoku w:val="0"/>
              <w:wordWrap/>
              <w:overflowPunct w:val="0"/>
              <w:topLinePunct w:val="0"/>
              <w:bidi w:val="0"/>
              <w:snapToGrid/>
              <w:spacing w:line="0" w:lineRule="atLeast"/>
              <w:ind w:left="0" w:leftChars="0" w:right="0" w:rightChars="0"/>
              <w:jc w:val="both"/>
              <w:textAlignment w:val="auto"/>
              <w:rPr>
                <w:rFonts w:hint="eastAsia" w:ascii="楷体" w:hAnsi="楷体" w:eastAsia="楷体" w:cs="宋体"/>
                <w:spacing w:val="-2"/>
                <w:kern w:val="0"/>
                <w:sz w:val="18"/>
                <w:szCs w:val="18"/>
                <w:lang w:val="en-US" w:eastAsia="zh-CN" w:bidi="ar-SA"/>
              </w:rPr>
            </w:pPr>
            <w:r>
              <w:rPr>
                <w:rFonts w:hint="eastAsia" w:ascii="楷体" w:hAnsi="楷体" w:eastAsia="楷体" w:cs="宋体"/>
                <w:b/>
                <w:bCs/>
                <w:spacing w:val="-2"/>
                <w:sz w:val="18"/>
                <w:szCs w:val="18"/>
                <w:u w:val="single"/>
                <w:lang w:val="en-US" w:eastAsia="zh-CN"/>
              </w:rPr>
              <w:t>2.</w:t>
            </w:r>
            <w:r>
              <w:rPr>
                <w:rFonts w:hint="eastAsia" w:ascii="楷体" w:hAnsi="楷体" w:eastAsia="楷体" w:cs="宋体"/>
                <w:b/>
                <w:spacing w:val="-2"/>
                <w:sz w:val="18"/>
                <w:szCs w:val="18"/>
                <w:highlight w:val="none"/>
                <w:u w:val="single"/>
                <w:lang w:val="en-US" w:eastAsia="zh-CN"/>
              </w:rPr>
              <w:t>本产品各类份额可能因收取的销售服务费和投资管理费存在差异，业绩比较基准设置有所不同</w:t>
            </w:r>
            <w:r>
              <w:rPr>
                <w:rFonts w:hint="eastAsia" w:ascii="楷体" w:hAnsi="楷体" w:eastAsia="楷体" w:cs="宋体"/>
                <w:b/>
                <w:bCs/>
                <w:spacing w:val="-2"/>
                <w:sz w:val="18"/>
                <w:szCs w:val="18"/>
                <w:u w:val="single"/>
              </w:rPr>
              <w:t>。</w:t>
            </w:r>
            <w:r>
              <w:rPr>
                <w:rFonts w:hint="eastAsia" w:ascii="楷体" w:hAnsi="楷体" w:eastAsia="楷体" w:cs="宋体"/>
                <w:spacing w:val="-2"/>
                <w:kern w:val="0"/>
                <w:sz w:val="18"/>
                <w:szCs w:val="18"/>
                <w:lang w:val="en-US" w:eastAsia="zh-CN" w:bidi="ar-SA"/>
              </w:rPr>
              <w:t>各类份额最新投资周期（</w:t>
            </w:r>
            <w:r>
              <w:rPr>
                <w:rFonts w:hint="eastAsia" w:ascii="楷体" w:hAnsi="楷体" w:eastAsia="楷体" w:cs="宋体"/>
                <w:spacing w:val="-2"/>
                <w:kern w:val="0"/>
                <w:sz w:val="18"/>
                <w:szCs w:val="18"/>
                <w:highlight w:val="none"/>
                <w:u w:val="single"/>
                <w:lang w:val="en-US" w:eastAsia="zh-CN" w:bidi="ar-SA"/>
              </w:rPr>
              <w:t>2025年9月19日-2026年10月26日</w:t>
            </w:r>
            <w:r>
              <w:rPr>
                <w:rFonts w:hint="eastAsia" w:ascii="楷体" w:hAnsi="楷体" w:eastAsia="楷体" w:cs="宋体"/>
                <w:spacing w:val="-2"/>
                <w:kern w:val="0"/>
                <w:sz w:val="18"/>
                <w:szCs w:val="18"/>
                <w:lang w:val="en-US" w:eastAsia="zh-CN" w:bidi="ar-SA"/>
              </w:rPr>
              <w:t>）业绩比较基准如下：</w:t>
            </w:r>
          </w:p>
          <w:tbl>
            <w:tblPr>
              <w:tblStyle w:val="15"/>
              <w:tblW w:w="6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71"/>
              <w:gridCol w:w="180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Align w:val="center"/>
                </w:tcPr>
                <w:p>
                  <w:pPr>
                    <w:jc w:val="center"/>
                    <w:rPr>
                      <w:rFonts w:hint="eastAsia" w:ascii="楷体" w:hAnsi="楷体" w:eastAsia="楷体"/>
                      <w:sz w:val="18"/>
                      <w:szCs w:val="18"/>
                    </w:rPr>
                  </w:pPr>
                  <w:r>
                    <w:rPr>
                      <w:rFonts w:hint="eastAsia" w:ascii="楷体" w:hAnsi="楷体" w:eastAsia="楷体"/>
                      <w:sz w:val="18"/>
                      <w:szCs w:val="18"/>
                    </w:rPr>
                    <w:t>投资周期</w:t>
                  </w:r>
                </w:p>
              </w:tc>
              <w:tc>
                <w:tcPr>
                  <w:tcW w:w="1871" w:type="dxa"/>
                  <w:vAlign w:val="center"/>
                </w:tcPr>
                <w:p>
                  <w:pPr>
                    <w:jc w:val="center"/>
                    <w:rPr>
                      <w:rFonts w:hint="eastAsia" w:ascii="楷体" w:hAnsi="楷体" w:eastAsia="楷体"/>
                      <w:sz w:val="18"/>
                      <w:szCs w:val="18"/>
                    </w:rPr>
                  </w:pPr>
                  <w:r>
                    <w:rPr>
                      <w:rFonts w:hint="eastAsia" w:ascii="楷体" w:hAnsi="楷体" w:eastAsia="楷体"/>
                      <w:sz w:val="18"/>
                      <w:szCs w:val="18"/>
                    </w:rPr>
                    <w:t>投资周期起始日</w:t>
                  </w:r>
                </w:p>
              </w:tc>
              <w:tc>
                <w:tcPr>
                  <w:tcW w:w="1803" w:type="dxa"/>
                  <w:vAlign w:val="center"/>
                </w:tcPr>
                <w:p>
                  <w:pPr>
                    <w:jc w:val="center"/>
                    <w:rPr>
                      <w:rFonts w:hint="eastAsia" w:ascii="楷体" w:hAnsi="楷体" w:eastAsia="楷体"/>
                      <w:sz w:val="18"/>
                      <w:szCs w:val="18"/>
                    </w:rPr>
                  </w:pPr>
                  <w:r>
                    <w:rPr>
                      <w:rFonts w:hint="eastAsia" w:ascii="楷体" w:hAnsi="楷体" w:eastAsia="楷体"/>
                      <w:sz w:val="18"/>
                      <w:szCs w:val="18"/>
                    </w:rPr>
                    <w:t>投资周期终止日</w:t>
                  </w:r>
                </w:p>
              </w:tc>
              <w:tc>
                <w:tcPr>
                  <w:tcW w:w="1883" w:type="dxa"/>
                  <w:vAlign w:val="center"/>
                </w:tcPr>
                <w:p>
                  <w:pPr>
                    <w:jc w:val="center"/>
                    <w:rPr>
                      <w:rFonts w:hint="eastAsia" w:ascii="楷体" w:hAnsi="楷体" w:eastAsia="楷体"/>
                      <w:sz w:val="18"/>
                      <w:szCs w:val="18"/>
                      <w:lang w:val="en-US" w:eastAsia="zh-CN"/>
                    </w:rPr>
                  </w:pPr>
                  <w:r>
                    <w:rPr>
                      <w:rFonts w:hint="eastAsia" w:ascii="楷体" w:hAnsi="楷体" w:eastAsia="楷体"/>
                      <w:sz w:val="18"/>
                      <w:szCs w:val="18"/>
                      <w:lang w:val="en-US" w:eastAsia="zh-CN"/>
                    </w:rPr>
                    <w:t>业绩比较基准</w:t>
                  </w:r>
                </w:p>
                <w:p>
                  <w:pPr>
                    <w:jc w:val="center"/>
                    <w:rPr>
                      <w:rFonts w:hint="default" w:ascii="楷体" w:hAnsi="楷体" w:eastAsia="楷体"/>
                      <w:sz w:val="18"/>
                      <w:szCs w:val="18"/>
                      <w:lang w:val="en-US" w:eastAsia="zh-CN"/>
                    </w:rPr>
                  </w:pPr>
                  <w:r>
                    <w:rPr>
                      <w:rFonts w:hint="eastAsia" w:ascii="楷体" w:hAnsi="楷体" w:eastAsia="楷体"/>
                      <w:sz w:val="18"/>
                      <w:szCs w:val="18"/>
                      <w:lang w:val="en-US" w:eastAsia="zh-CN"/>
                    </w:rPr>
                    <w:t>（年化）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rPr>
                  </w:pPr>
                  <w:r>
                    <w:rPr>
                      <w:rFonts w:hint="eastAsia" w:ascii="楷体" w:hAnsi="楷体" w:eastAsia="楷体"/>
                      <w:sz w:val="18"/>
                      <w:szCs w:val="18"/>
                      <w:lang w:val="en-US" w:eastAsia="zh-CN"/>
                    </w:rPr>
                    <w:t>1</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highlight w:val="none"/>
                      <w:lang w:eastAsia="zh-CN"/>
                    </w:rPr>
                    <w:t>2022年9月6日</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highlight w:val="none"/>
                      <w:lang w:eastAsia="zh-CN"/>
                    </w:rPr>
                  </w:pPr>
                  <w:r>
                    <w:rPr>
                      <w:rFonts w:hint="eastAsia" w:ascii="楷体" w:hAnsi="楷体" w:eastAsia="楷体"/>
                      <w:sz w:val="18"/>
                      <w:szCs w:val="18"/>
                      <w:lang w:eastAsia="zh-CN"/>
                    </w:rPr>
                    <w:t>2023年9月7日</w:t>
                  </w:r>
                </w:p>
              </w:tc>
              <w:tc>
                <w:tcPr>
                  <w:tcW w:w="1883" w:type="dxa"/>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15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180" w:firstLineChars="100"/>
                    <w:jc w:val="center"/>
                    <w:textAlignment w:val="auto"/>
                    <w:rPr>
                      <w:rFonts w:hint="eastAsia" w:ascii="楷体" w:hAnsi="楷体" w:eastAsia="楷体" w:cs="楷体"/>
                      <w:sz w:val="18"/>
                      <w:szCs w:val="18"/>
                      <w:highlight w:val="none"/>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 xml:space="preserve"> </w:t>
                  </w:r>
                  <w:r>
                    <w:rPr>
                      <w:rFonts w:hint="default" w:ascii="楷体" w:hAnsi="楷体" w:eastAsia="楷体"/>
                      <w:sz w:val="18"/>
                      <w:szCs w:val="18"/>
                      <w:lang w:val="en-US" w:eastAsia="zh-CN"/>
                    </w:rPr>
                    <w:t>4.</w:t>
                  </w:r>
                  <w:r>
                    <w:rPr>
                      <w:rFonts w:hint="eastAsia" w:ascii="楷体" w:hAnsi="楷体" w:eastAsia="楷体"/>
                      <w:sz w:val="18"/>
                      <w:szCs w:val="18"/>
                      <w:lang w:val="en-US" w:eastAsia="zh-CN"/>
                    </w:rPr>
                    <w:t>18</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rPr>
                  </w:pPr>
                  <w:r>
                    <w:rPr>
                      <w:rFonts w:hint="eastAsia" w:ascii="楷体" w:hAnsi="楷体" w:eastAsia="楷体"/>
                      <w:sz w:val="18"/>
                      <w:szCs w:val="18"/>
                      <w:lang w:val="en-US" w:eastAsia="zh-CN"/>
                    </w:rPr>
                    <w:t>2</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cs="宋体"/>
                      <w:spacing w:val="-2"/>
                      <w:sz w:val="18"/>
                      <w:szCs w:val="18"/>
                      <w:lang w:val="en-US" w:eastAsia="zh-CN"/>
                    </w:rPr>
                    <w:t>2023年9月8日</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 w:hAnsi="楷体" w:eastAsia="楷体" w:cs="楷体"/>
                      <w:sz w:val="18"/>
                      <w:szCs w:val="18"/>
                      <w:lang w:eastAsia="zh-CN"/>
                    </w:rPr>
                  </w:pPr>
                  <w:r>
                    <w:rPr>
                      <w:rFonts w:hint="eastAsia" w:ascii="楷体" w:hAnsi="楷体" w:eastAsia="楷体"/>
                      <w:sz w:val="18"/>
                      <w:szCs w:val="18"/>
                      <w:lang w:val="en-US" w:eastAsia="zh-CN"/>
                    </w:rPr>
                    <w:t>2024年9月10日</w:t>
                  </w:r>
                </w:p>
              </w:tc>
              <w:tc>
                <w:tcPr>
                  <w:tcW w:w="1883" w:type="dxa"/>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A份额3.60%-4.00%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B份额3.63%-4.03%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D份额3.75%-4.15%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F份额3.60%-4.00%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G份额3.70%-4.10%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J份额3.70%-4.10%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K份额3.50%-3.90%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ZA份额3.60%-4.00%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eastAsia" w:ascii="楷体" w:hAnsi="楷体" w:eastAsia="楷体" w:cs="楷体"/>
                      <w:sz w:val="18"/>
                      <w:szCs w:val="18"/>
                      <w:lang w:val="en-US" w:eastAsia="zh-CN"/>
                    </w:rPr>
                  </w:pPr>
                  <w:r>
                    <w:rPr>
                      <w:rFonts w:hint="default" w:ascii="楷体" w:hAnsi="楷体" w:eastAsia="楷体"/>
                      <w:sz w:val="18"/>
                      <w:szCs w:val="18"/>
                      <w:lang w:val="en-US" w:eastAsia="zh-CN"/>
                    </w:rPr>
                    <w:t>ZF份额3.60%-4.00%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Align w:val="center"/>
                </w:tcPr>
                <w:p>
                  <w:pPr>
                    <w:jc w:val="center"/>
                    <w:rPr>
                      <w:rFonts w:hint="default" w:ascii="楷体" w:hAnsi="楷体" w:eastAsia="楷体"/>
                      <w:sz w:val="18"/>
                      <w:szCs w:val="18"/>
                      <w:lang w:val="en-US" w:eastAsia="zh-CN"/>
                    </w:rPr>
                  </w:pPr>
                  <w:r>
                    <w:rPr>
                      <w:rFonts w:hint="eastAsia" w:ascii="楷体" w:hAnsi="楷体" w:eastAsia="楷体"/>
                      <w:sz w:val="18"/>
                      <w:szCs w:val="18"/>
                      <w:lang w:val="en-US" w:eastAsia="zh-CN"/>
                    </w:rPr>
                    <w:t>3</w:t>
                  </w:r>
                </w:p>
              </w:tc>
              <w:tc>
                <w:tcPr>
                  <w:tcW w:w="1871" w:type="dxa"/>
                  <w:vAlign w:val="center"/>
                </w:tcPr>
                <w:p>
                  <w:pPr>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2024年9月11日</w:t>
                  </w:r>
                </w:p>
              </w:tc>
              <w:tc>
                <w:tcPr>
                  <w:tcW w:w="1803" w:type="dxa"/>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jc w:val="both"/>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2025年9月18日</w:t>
                  </w:r>
                </w:p>
              </w:tc>
              <w:tc>
                <w:tcPr>
                  <w:tcW w:w="1883" w:type="dxa"/>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A份额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B份额</w:t>
                  </w:r>
                  <w:r>
                    <w:rPr>
                      <w:rFonts w:hint="eastAsia" w:ascii="楷体" w:hAnsi="楷体" w:eastAsia="楷体"/>
                      <w:sz w:val="18"/>
                      <w:szCs w:val="18"/>
                      <w:lang w:val="en-US" w:eastAsia="zh-CN"/>
                    </w:rPr>
                    <w:t>2.83</w:t>
                  </w:r>
                  <w:r>
                    <w:rPr>
                      <w:rFonts w:hint="default" w:ascii="楷体" w:hAnsi="楷体" w:eastAsia="楷体"/>
                      <w:sz w:val="18"/>
                      <w:szCs w:val="18"/>
                      <w:lang w:val="en-US" w:eastAsia="zh-CN"/>
                    </w:rPr>
                    <w:t>%-3.</w:t>
                  </w:r>
                  <w:r>
                    <w:rPr>
                      <w:rFonts w:hint="eastAsia" w:ascii="楷体" w:hAnsi="楷体" w:eastAsia="楷体"/>
                      <w:sz w:val="18"/>
                      <w:szCs w:val="18"/>
                      <w:lang w:val="en-US" w:eastAsia="zh-CN"/>
                    </w:rPr>
                    <w:t>43</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D份额</w:t>
                  </w:r>
                  <w:r>
                    <w:rPr>
                      <w:rFonts w:hint="eastAsia" w:ascii="楷体" w:hAnsi="楷体" w:eastAsia="楷体"/>
                      <w:sz w:val="18"/>
                      <w:szCs w:val="18"/>
                      <w:lang w:val="en-US" w:eastAsia="zh-CN"/>
                    </w:rPr>
                    <w:t>2.95</w:t>
                  </w:r>
                  <w:r>
                    <w:rPr>
                      <w:rFonts w:hint="default" w:ascii="楷体" w:hAnsi="楷体" w:eastAsia="楷体"/>
                      <w:sz w:val="18"/>
                      <w:szCs w:val="18"/>
                      <w:lang w:val="en-US" w:eastAsia="zh-CN"/>
                    </w:rPr>
                    <w:t>%-</w:t>
                  </w:r>
                  <w:r>
                    <w:rPr>
                      <w:rFonts w:hint="eastAsia" w:ascii="楷体" w:hAnsi="楷体" w:eastAsia="楷体"/>
                      <w:sz w:val="18"/>
                      <w:szCs w:val="18"/>
                      <w:lang w:val="en-US" w:eastAsia="zh-CN"/>
                    </w:rPr>
                    <w:t>3.55</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F份额</w:t>
                  </w:r>
                  <w:r>
                    <w:rPr>
                      <w:rFonts w:hint="eastAsia" w:ascii="楷体" w:hAnsi="楷体" w:eastAsia="楷体"/>
                      <w:sz w:val="18"/>
                      <w:szCs w:val="18"/>
                      <w:lang w:val="en-US" w:eastAsia="zh-CN"/>
                    </w:rPr>
                    <w:t>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G份额2.85%-3.45%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J份额</w:t>
                  </w:r>
                  <w:r>
                    <w:rPr>
                      <w:rFonts w:hint="eastAsia" w:ascii="楷体" w:hAnsi="楷体" w:eastAsia="楷体"/>
                      <w:sz w:val="18"/>
                      <w:szCs w:val="18"/>
                      <w:lang w:val="en-US" w:eastAsia="zh-CN"/>
                    </w:rPr>
                    <w:t>2.90</w:t>
                  </w:r>
                  <w:r>
                    <w:rPr>
                      <w:rFonts w:hint="default" w:ascii="楷体" w:hAnsi="楷体" w:eastAsia="楷体"/>
                      <w:sz w:val="18"/>
                      <w:szCs w:val="18"/>
                      <w:lang w:val="en-US" w:eastAsia="zh-CN"/>
                    </w:rPr>
                    <w:t>%-</w:t>
                  </w:r>
                  <w:r>
                    <w:rPr>
                      <w:rFonts w:hint="eastAsia" w:ascii="楷体" w:hAnsi="楷体" w:eastAsia="楷体"/>
                      <w:sz w:val="18"/>
                      <w:szCs w:val="18"/>
                      <w:lang w:val="en-US" w:eastAsia="zh-CN"/>
                    </w:rPr>
                    <w:t>3.50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lang w:val="en-US" w:eastAsia="zh-CN"/>
                    </w:rPr>
                  </w:pPr>
                  <w:r>
                    <w:rPr>
                      <w:rFonts w:hint="eastAsia" w:ascii="楷体" w:hAnsi="楷体" w:eastAsia="楷体"/>
                      <w:sz w:val="18"/>
                      <w:szCs w:val="18"/>
                      <w:lang w:val="en-US" w:eastAsia="zh-CN"/>
                    </w:rPr>
                    <w:t>K份额 2.70%-3.30%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sz w:val="18"/>
                      <w:szCs w:val="18"/>
                      <w:lang w:val="en-US" w:eastAsia="zh-CN"/>
                    </w:rPr>
                  </w:pPr>
                  <w:r>
                    <w:rPr>
                      <w:rFonts w:hint="default" w:ascii="楷体" w:hAnsi="楷体" w:eastAsia="楷体"/>
                      <w:sz w:val="18"/>
                      <w:szCs w:val="18"/>
                      <w:lang w:val="en-US" w:eastAsia="zh-CN"/>
                    </w:rPr>
                    <w:t>ZA份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lang w:val="en-US" w:eastAsia="zh-CN"/>
                    </w:rPr>
                  </w:pPr>
                  <w:r>
                    <w:rPr>
                      <w:rFonts w:hint="default" w:ascii="楷体" w:hAnsi="楷体" w:eastAsia="楷体"/>
                      <w:sz w:val="18"/>
                      <w:szCs w:val="18"/>
                      <w:lang w:val="en-US" w:eastAsia="zh-CN"/>
                    </w:rPr>
                    <w:t>ZF份</w:t>
                  </w:r>
                  <w:r>
                    <w:rPr>
                      <w:rFonts w:hint="eastAsia" w:ascii="楷体" w:hAnsi="楷体" w:eastAsia="楷体"/>
                      <w:sz w:val="18"/>
                      <w:szCs w:val="18"/>
                      <w:lang w:val="en-US" w:eastAsia="zh-CN"/>
                    </w:rPr>
                    <w:t>额2.80</w:t>
                  </w:r>
                  <w:r>
                    <w:rPr>
                      <w:rFonts w:hint="default" w:ascii="楷体" w:hAnsi="楷体" w:eastAsia="楷体"/>
                      <w:sz w:val="18"/>
                      <w:szCs w:val="18"/>
                      <w:lang w:val="en-US" w:eastAsia="zh-CN"/>
                    </w:rPr>
                    <w:t>%-3.</w:t>
                  </w:r>
                  <w:r>
                    <w:rPr>
                      <w:rFonts w:hint="eastAsia" w:ascii="楷体" w:hAnsi="楷体" w:eastAsia="楷体"/>
                      <w:sz w:val="18"/>
                      <w:szCs w:val="18"/>
                      <w:lang w:val="en-US" w:eastAsia="zh-CN"/>
                    </w:rPr>
                    <w:t>40</w:t>
                  </w:r>
                  <w:r>
                    <w:rPr>
                      <w:rFonts w:hint="default" w:ascii="楷体" w:hAnsi="楷体" w:eastAsia="楷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0" w:type="dxa"/>
                  <w:vAlign w:val="center"/>
                </w:tcPr>
                <w:p>
                  <w:pPr>
                    <w:jc w:val="center"/>
                    <w:rPr>
                      <w:rFonts w:hint="default" w:ascii="楷体" w:hAnsi="楷体" w:eastAsia="楷体"/>
                      <w:sz w:val="18"/>
                      <w:szCs w:val="18"/>
                      <w:lang w:val="en-US" w:eastAsia="zh-CN"/>
                    </w:rPr>
                  </w:pPr>
                  <w:r>
                    <w:rPr>
                      <w:rFonts w:hint="eastAsia" w:ascii="楷体" w:hAnsi="楷体" w:eastAsia="楷体"/>
                      <w:sz w:val="18"/>
                      <w:szCs w:val="18"/>
                      <w:lang w:val="en-US" w:eastAsia="zh-CN"/>
                    </w:rPr>
                    <w:t>4</w:t>
                  </w:r>
                </w:p>
              </w:tc>
              <w:tc>
                <w:tcPr>
                  <w:tcW w:w="1871" w:type="dxa"/>
                  <w:vAlign w:val="center"/>
                </w:tcPr>
                <w:p>
                  <w:pPr>
                    <w:jc w:val="center"/>
                    <w:rPr>
                      <w:rFonts w:hint="default" w:ascii="楷体" w:hAnsi="楷体" w:eastAsia="楷体" w:cs="宋体"/>
                      <w:spacing w:val="-2"/>
                      <w:sz w:val="18"/>
                      <w:szCs w:val="18"/>
                      <w:lang w:val="en-US" w:eastAsia="zh-CN"/>
                    </w:rPr>
                  </w:pPr>
                  <w:r>
                    <w:rPr>
                      <w:rFonts w:hint="eastAsia" w:ascii="楷体" w:hAnsi="楷体" w:eastAsia="楷体" w:cs="宋体"/>
                      <w:spacing w:val="-2"/>
                      <w:sz w:val="18"/>
                      <w:szCs w:val="18"/>
                      <w:lang w:val="en-US" w:eastAsia="zh-CN"/>
                    </w:rPr>
                    <w:t>2025年9月19日</w:t>
                  </w:r>
                </w:p>
              </w:tc>
              <w:tc>
                <w:tcPr>
                  <w:tcW w:w="1803" w:type="dxa"/>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jc w:val="both"/>
                    <w:textAlignment w:val="auto"/>
                    <w:rPr>
                      <w:rFonts w:hint="default" w:ascii="楷体" w:hAnsi="楷体" w:eastAsia="楷体"/>
                      <w:sz w:val="18"/>
                      <w:szCs w:val="18"/>
                      <w:lang w:val="en-US" w:eastAsia="zh-CN"/>
                    </w:rPr>
                  </w:pPr>
                  <w:r>
                    <w:rPr>
                      <w:rFonts w:hint="eastAsia" w:ascii="楷体" w:hAnsi="楷体" w:eastAsia="楷体"/>
                      <w:sz w:val="18"/>
                      <w:szCs w:val="18"/>
                      <w:lang w:val="en-US" w:eastAsia="zh-CN"/>
                    </w:rPr>
                    <w:t>2026年10月26日</w:t>
                  </w:r>
                </w:p>
              </w:tc>
              <w:tc>
                <w:tcPr>
                  <w:tcW w:w="1883" w:type="dxa"/>
                  <w:vAlign w:val="center"/>
                </w:tcPr>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B份额 2.63%-3.23%</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C份额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D份额 2.75%-3.35%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G份额 2.65%-3.25%</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J份额 2.70%-3.30%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K份额 2.50%-3.10%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eastAsia" w:ascii="楷体" w:hAnsi="楷体" w:eastAsia="楷体" w:cs="Times New Roman"/>
                      <w:sz w:val="18"/>
                      <w:szCs w:val="18"/>
                      <w:lang w:val="en-US" w:eastAsia="zh-CN"/>
                    </w:rPr>
                  </w:pPr>
                  <w:r>
                    <w:rPr>
                      <w:rFonts w:hint="eastAsia" w:ascii="楷体" w:hAnsi="楷体" w:eastAsia="楷体" w:cs="Times New Roman"/>
                      <w:sz w:val="18"/>
                      <w:szCs w:val="18"/>
                      <w:lang w:val="en-US" w:eastAsia="zh-CN"/>
                    </w:rPr>
                    <w:t>P份额 2.80%-3.40%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eastAsia" w:ascii="楷体" w:hAnsi="楷体" w:eastAsia="楷体" w:cs="Times New Roman"/>
                      <w:sz w:val="18"/>
                      <w:szCs w:val="18"/>
                      <w:lang w:val="en-US" w:eastAsia="zh-CN"/>
                    </w:rPr>
                    <w:t>T份额 2.80%-3.40%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ZA份额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ZF份额 2.60%-3.20%</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default" w:ascii="楷体" w:hAnsi="楷体" w:eastAsia="楷体" w:cs="Times New Roman"/>
                      <w:sz w:val="18"/>
                      <w:szCs w:val="18"/>
                      <w:lang w:val="en-US" w:eastAsia="zh-CN"/>
                    </w:rPr>
                  </w:pPr>
                  <w:r>
                    <w:rPr>
                      <w:rFonts w:hint="default" w:ascii="楷体" w:hAnsi="楷体" w:eastAsia="楷体" w:cs="Times New Roman"/>
                      <w:sz w:val="18"/>
                      <w:szCs w:val="18"/>
                      <w:lang w:val="en-US" w:eastAsia="zh-CN"/>
                    </w:rPr>
                    <w:t>ZN份额 2.7</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%-3.3</w:t>
                  </w:r>
                  <w:r>
                    <w:rPr>
                      <w:rFonts w:hint="eastAsia" w:ascii="楷体" w:hAnsi="楷体" w:eastAsia="楷体" w:cs="Times New Roman"/>
                      <w:sz w:val="18"/>
                      <w:szCs w:val="18"/>
                      <w:lang w:val="en-US" w:eastAsia="zh-CN"/>
                    </w:rPr>
                    <w:t>5</w:t>
                  </w:r>
                  <w:r>
                    <w:rPr>
                      <w:rFonts w:hint="default" w:ascii="楷体" w:hAnsi="楷体" w:eastAsia="楷体" w:cs="Times New Roman"/>
                      <w:sz w:val="18"/>
                      <w:szCs w:val="18"/>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line="0" w:lineRule="atLeast"/>
                    <w:ind w:left="0" w:leftChars="0" w:firstLine="0" w:firstLineChars="0"/>
                    <w:jc w:val="center"/>
                    <w:textAlignment w:val="auto"/>
                    <w:rPr>
                      <w:rFonts w:hint="eastAsia" w:ascii="楷体" w:hAnsi="楷体" w:eastAsia="楷体"/>
                      <w:sz w:val="18"/>
                      <w:szCs w:val="18"/>
                      <w:lang w:val="en-US" w:eastAsia="zh-CN"/>
                    </w:rPr>
                  </w:pPr>
                  <w:r>
                    <w:rPr>
                      <w:rFonts w:hint="default" w:ascii="楷体" w:hAnsi="楷体" w:eastAsia="楷体" w:cs="Times New Roman"/>
                      <w:sz w:val="18"/>
                      <w:szCs w:val="18"/>
                      <w:lang w:val="en-US" w:eastAsia="zh-CN"/>
                    </w:rPr>
                    <w:t>ZQ份额 2.55%-3.15%</w:t>
                  </w:r>
                </w:p>
              </w:tc>
            </w:tr>
          </w:tbl>
          <w:p>
            <w:pPr>
              <w:keepNext w:val="0"/>
              <w:keepLines w:val="0"/>
              <w:pageBreakBefore w:val="0"/>
              <w:widowControl w:val="0"/>
              <w:wordWrap/>
              <w:topLinePunct w:val="0"/>
              <w:bidi w:val="0"/>
              <w:snapToGrid/>
              <w:spacing w:line="0" w:lineRule="atLeast"/>
              <w:ind w:left="0" w:leftChars="0" w:right="0" w:rightChars="0"/>
              <w:jc w:val="both"/>
              <w:textAlignment w:val="auto"/>
              <w:rPr>
                <w:rFonts w:hint="eastAsia" w:ascii="楷体" w:hAnsi="楷体" w:eastAsia="楷体" w:cs="宋体"/>
                <w:b/>
                <w:spacing w:val="-2"/>
                <w:sz w:val="18"/>
                <w:szCs w:val="18"/>
                <w:u w:val="single"/>
                <w:lang w:val="en-US" w:eastAsia="zh-CN"/>
              </w:rPr>
            </w:pPr>
            <w:r>
              <w:rPr>
                <w:rFonts w:hint="eastAsia" w:ascii="楷体" w:hAnsi="楷体" w:eastAsia="楷体" w:cs="宋体"/>
                <w:b/>
                <w:spacing w:val="-2"/>
                <w:sz w:val="18"/>
                <w:szCs w:val="18"/>
                <w:u w:val="single"/>
                <w:lang w:val="en-US" w:eastAsia="zh-CN"/>
              </w:rPr>
              <w:t>3.本产品为净值型产品，业绩表现将随市场波动，具有不确定性。业绩比较基准是管理人基于产品性质、投资策略、过往经验等因素对产品设定的投资目标。业绩比较基准不是预期收益率，不代表产品的未来表现和实际收益，不构成对产品收益的承诺。投资者的实际收益由产品净值表现决定。</w:t>
            </w:r>
          </w:p>
          <w:p>
            <w:pPr>
              <w:keepNext w:val="0"/>
              <w:keepLines w:val="0"/>
              <w:pageBreakBefore w:val="0"/>
              <w:widowControl w:val="0"/>
              <w:wordWrap/>
              <w:topLinePunct w:val="0"/>
              <w:bidi w:val="0"/>
              <w:snapToGrid/>
              <w:spacing w:line="0" w:lineRule="atLeast"/>
              <w:ind w:left="0" w:leftChars="0" w:right="0" w:rightChars="0"/>
              <w:jc w:val="both"/>
              <w:textAlignment w:val="auto"/>
              <w:rPr>
                <w:rFonts w:hint="eastAsia" w:ascii="楷体" w:hAnsi="楷体" w:eastAsia="楷体" w:cs="宋体"/>
                <w:b/>
                <w:spacing w:val="-2"/>
                <w:sz w:val="18"/>
                <w:szCs w:val="18"/>
                <w:u w:val="single"/>
              </w:rPr>
            </w:pPr>
            <w:r>
              <w:rPr>
                <w:rFonts w:hint="eastAsia" w:ascii="楷体" w:hAnsi="楷体" w:eastAsia="楷体" w:cs="宋体"/>
                <w:b/>
                <w:spacing w:val="-2"/>
                <w:sz w:val="18"/>
                <w:szCs w:val="18"/>
                <w:u w:val="single"/>
              </w:rPr>
              <w:t>产品存续期内管理人有权根据市场情况调整业绩比较基准，如有调整以管理人公告为准。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eastAsia" w:ascii="楷体" w:hAnsi="楷体" w:eastAsia="楷体" w:cs="宋体"/>
                <w:spacing w:val="-2"/>
                <w:sz w:val="18"/>
                <w:szCs w:val="18"/>
              </w:rPr>
            </w:pPr>
            <w:r>
              <w:rPr>
                <w:rFonts w:hint="eastAsia" w:ascii="楷体" w:hAnsi="楷体" w:eastAsia="楷体" w:cs="宋体"/>
                <w:b/>
                <w:spacing w:val="-2"/>
                <w:sz w:val="18"/>
                <w:szCs w:val="18"/>
              </w:rPr>
              <w:t>产品费用</w:t>
            </w:r>
          </w:p>
        </w:tc>
        <w:tc>
          <w:tcPr>
            <w:tcW w:w="7937" w:type="dxa"/>
            <w:noWrap w:val="0"/>
            <w:vAlign w:val="center"/>
          </w:tcPr>
          <w:p>
            <w:pPr>
              <w:keepNext w:val="0"/>
              <w:keepLines w:val="0"/>
              <w:pageBreakBefore w:val="0"/>
              <w:numPr>
                <w:ilvl w:val="0"/>
                <w:numId w:val="0"/>
              </w:numPr>
              <w:wordWrap/>
              <w:topLinePunct w:val="0"/>
              <w:bidi w:val="0"/>
              <w:snapToGrid/>
              <w:spacing w:line="0" w:lineRule="atLeast"/>
              <w:ind w:right="0" w:rightChars="0"/>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本产品费用包括托管费、销售服务费、投资管理费、超额业绩报酬（如有）以及产品运作和清算中产生的其他费用等。</w:t>
            </w:r>
          </w:p>
          <w:p>
            <w:pPr>
              <w:keepNext w:val="0"/>
              <w:keepLines w:val="0"/>
              <w:pageBreakBefore w:val="0"/>
              <w:numPr>
                <w:ilvl w:val="0"/>
                <w:numId w:val="0"/>
              </w:numPr>
              <w:wordWrap/>
              <w:topLinePunct w:val="0"/>
              <w:bidi w:val="0"/>
              <w:snapToGrid/>
              <w:spacing w:line="0" w:lineRule="atLeast"/>
              <w:ind w:right="0" w:rightChars="0"/>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1.托管费率（年化）：0.02%。</w:t>
            </w:r>
          </w:p>
          <w:p>
            <w:pPr>
              <w:keepNext w:val="0"/>
              <w:keepLines w:val="0"/>
              <w:pageBreakBefore w:val="0"/>
              <w:numPr>
                <w:ilvl w:val="0"/>
                <w:numId w:val="0"/>
              </w:numPr>
              <w:wordWrap/>
              <w:topLinePunct w:val="0"/>
              <w:bidi w:val="0"/>
              <w:snapToGrid/>
              <w:spacing w:line="0" w:lineRule="atLeast"/>
              <w:ind w:right="0" w:rightChars="0"/>
              <w:textAlignment w:val="auto"/>
              <w:rPr>
                <w:rFonts w:hint="default"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2.销售服务费率（年化）：A份额0.50%，B份额0.50%，C份额0.50%，D份额0.45%，F份额0.50%，G份额0.45%，J份额0.50%，K份额0.50%，P份额0.50%，T份额0.50%，ZA份额0.50%，ZF份额0.50%，ZN份额0.45%，ZQ份额0.55%。</w:t>
            </w:r>
          </w:p>
          <w:p>
            <w:pPr>
              <w:keepNext w:val="0"/>
              <w:keepLines w:val="0"/>
              <w:pageBreakBefore w:val="0"/>
              <w:numPr>
                <w:ilvl w:val="0"/>
                <w:numId w:val="0"/>
              </w:numPr>
              <w:wordWrap/>
              <w:topLinePunct w:val="0"/>
              <w:bidi w:val="0"/>
              <w:snapToGrid/>
              <w:spacing w:line="0" w:lineRule="atLeast"/>
              <w:ind w:right="0" w:rightChars="0"/>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lang w:val="en-US" w:eastAsia="zh-CN"/>
              </w:rPr>
              <w:t>3.投资管理费率（年化）：A份额0.80%，B份额0.77%，C份额0.65%，D份额0.70%，F份额0.80%，G份额0.80%，J份额0.70%，K份额0.90%，P份额0.60%，T份额0.60%，ZA份额0.80%，ZF份额0.80%，ZN份额0.70%，ZQ份额0.80%。</w:t>
            </w:r>
          </w:p>
          <w:p>
            <w:pPr>
              <w:keepNext w:val="0"/>
              <w:keepLines w:val="0"/>
              <w:pageBreakBefore w:val="0"/>
              <w:numPr>
                <w:ilvl w:val="0"/>
                <w:numId w:val="0"/>
              </w:numPr>
              <w:wordWrap/>
              <w:topLinePunct w:val="0"/>
              <w:bidi w:val="0"/>
              <w:snapToGrid/>
              <w:spacing w:line="0" w:lineRule="atLeast"/>
              <w:ind w:right="0"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highlight w:val="none"/>
                <w:lang w:val="en-US" w:eastAsia="zh-CN"/>
              </w:rPr>
              <w:t>4</w:t>
            </w:r>
            <w:r>
              <w:rPr>
                <w:rFonts w:hint="eastAsia" w:ascii="楷体" w:hAnsi="楷体" w:eastAsia="楷体" w:cs="宋体"/>
                <w:color w:val="auto"/>
                <w:spacing w:val="-2"/>
                <w:sz w:val="18"/>
                <w:szCs w:val="18"/>
                <w:highlight w:val="none"/>
              </w:rPr>
              <w:t>.超额业绩报酬：管理人按投资周期收取超额业绩报酬</w:t>
            </w:r>
            <w:r>
              <w:rPr>
                <w:rFonts w:hint="eastAsia" w:ascii="楷体" w:hAnsi="楷体" w:eastAsia="楷体" w:cs="宋体"/>
                <w:color w:val="auto"/>
                <w:spacing w:val="-2"/>
                <w:sz w:val="18"/>
                <w:szCs w:val="18"/>
                <w:highlight w:val="none"/>
                <w:lang w:eastAsia="zh-CN"/>
              </w:rPr>
              <w:t>，</w:t>
            </w:r>
            <w:r>
              <w:rPr>
                <w:rFonts w:hint="eastAsia" w:ascii="楷体" w:hAnsi="楷体" w:eastAsia="楷体" w:cs="宋体"/>
                <w:color w:val="auto"/>
                <w:spacing w:val="-2"/>
                <w:sz w:val="18"/>
                <w:szCs w:val="18"/>
                <w:highlight w:val="none"/>
              </w:rPr>
              <w:t>假设单一投资周期的各份额实际年化投资收益在扣除托管费、销售服务费、投资管理费以及运作产品所必须缴纳的税费后为R：</w:t>
            </w:r>
          </w:p>
          <w:p>
            <w:pPr>
              <w:keepNext w:val="0"/>
              <w:keepLines w:val="0"/>
              <w:pageBreakBefore w:val="0"/>
              <w:numPr>
                <w:ilvl w:val="0"/>
                <w:numId w:val="0"/>
              </w:numPr>
              <w:wordWrap/>
              <w:topLinePunct w:val="0"/>
              <w:bidi w:val="0"/>
              <w:snapToGrid/>
              <w:spacing w:line="0" w:lineRule="atLeast"/>
              <w:ind w:right="0"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highlight w:val="none"/>
              </w:rPr>
              <w:t>若R&lt;业绩比较基准下限+（业绩比较基准上限-业绩比较基准下限）*60%，管理人无超额业绩报酬；</w:t>
            </w:r>
          </w:p>
          <w:p>
            <w:pPr>
              <w:keepNext w:val="0"/>
              <w:keepLines w:val="0"/>
              <w:pageBreakBefore w:val="0"/>
              <w:numPr>
                <w:ilvl w:val="0"/>
                <w:numId w:val="0"/>
              </w:numPr>
              <w:wordWrap/>
              <w:topLinePunct w:val="0"/>
              <w:bidi w:val="0"/>
              <w:snapToGrid/>
              <w:spacing w:line="0" w:lineRule="atLeast"/>
              <w:ind w:right="0"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highlight w:val="none"/>
              </w:rPr>
              <w:t>若业绩比较基准下限+（业绩比较基准上限-业绩比较基准下限）*60%≤R&lt;业绩比较基准上限，管理人对超出【业绩比较基准下限+（业绩比较基准上限-业绩比较基准下限）*60%】的部分，收取40%的超额业绩报酬；</w:t>
            </w:r>
          </w:p>
          <w:p>
            <w:pPr>
              <w:keepNext w:val="0"/>
              <w:keepLines w:val="0"/>
              <w:pageBreakBefore w:val="0"/>
              <w:numPr>
                <w:ilvl w:val="0"/>
                <w:numId w:val="0"/>
              </w:numPr>
              <w:wordWrap/>
              <w:topLinePunct w:val="0"/>
              <w:bidi w:val="0"/>
              <w:snapToGrid/>
              <w:spacing w:line="0" w:lineRule="atLeast"/>
              <w:ind w:right="0" w:rightChars="0"/>
              <w:textAlignment w:val="auto"/>
              <w:rPr>
                <w:rFonts w:hint="eastAsia" w:ascii="楷体" w:hAnsi="楷体" w:eastAsia="楷体" w:cs="宋体"/>
                <w:color w:val="auto"/>
                <w:spacing w:val="-2"/>
                <w:sz w:val="18"/>
                <w:szCs w:val="18"/>
                <w:highlight w:val="none"/>
                <w:lang w:val="en-US" w:eastAsia="zh-CN"/>
              </w:rPr>
            </w:pPr>
            <w:r>
              <w:rPr>
                <w:rFonts w:hint="eastAsia" w:ascii="楷体" w:hAnsi="楷体" w:eastAsia="楷体" w:cs="宋体"/>
                <w:color w:val="auto"/>
                <w:spacing w:val="-2"/>
                <w:sz w:val="18"/>
                <w:szCs w:val="18"/>
                <w:highlight w:val="none"/>
              </w:rPr>
              <w:t>若R≥业绩比较基准上限，管理人对【业绩比较基准下限+（业绩比较基准上限-业绩比较基准下限）*60%】与业绩比较基准上限之间的部分，收取40%的超额业绩报酬；管理人对超出业绩比较基准上限的部分，收取60%的超额业绩报酬。</w:t>
            </w:r>
          </w:p>
          <w:p>
            <w:pPr>
              <w:keepNext w:val="0"/>
              <w:keepLines w:val="0"/>
              <w:pageBreakBefore w:val="0"/>
              <w:widowControl w:val="0"/>
              <w:wordWrap/>
              <w:topLinePunct w:val="0"/>
              <w:bidi w:val="0"/>
              <w:snapToGrid/>
              <w:spacing w:line="0" w:lineRule="atLeast"/>
              <w:ind w:left="0" w:leftChars="0" w:right="0" w:rightChars="0"/>
              <w:textAlignment w:val="auto"/>
              <w:rPr>
                <w:rFonts w:hint="eastAsia" w:ascii="楷体" w:hAnsi="楷体" w:eastAsia="楷体" w:cs="宋体"/>
                <w:color w:val="auto"/>
                <w:spacing w:val="-2"/>
                <w:sz w:val="18"/>
                <w:szCs w:val="18"/>
                <w:highlight w:val="none"/>
              </w:rPr>
            </w:pPr>
            <w:r>
              <w:rPr>
                <w:rFonts w:hint="eastAsia" w:ascii="楷体" w:hAnsi="楷体" w:eastAsia="楷体" w:cs="宋体"/>
                <w:color w:val="auto"/>
                <w:spacing w:val="-2"/>
                <w:sz w:val="18"/>
                <w:szCs w:val="18"/>
                <w:highlight w:val="none"/>
              </w:rPr>
              <w:t>单一投资周期运作期间内理财产品将每日暂估超额业绩报酬，仅用于理财产品会计核算，并将扣除“暂估超额业绩报酬”后的理财产品份额净值按照说明书约定向投资者进行披露。理财产品实际</w:t>
            </w:r>
            <w:r>
              <w:rPr>
                <w:rFonts w:hint="eastAsia" w:ascii="楷体" w:hAnsi="楷体" w:eastAsia="楷体" w:cs="宋体"/>
                <w:color w:val="auto"/>
                <w:spacing w:val="-2"/>
                <w:sz w:val="18"/>
                <w:szCs w:val="18"/>
                <w:highlight w:val="none"/>
                <w:lang w:val="en-US" w:eastAsia="zh-CN"/>
              </w:rPr>
              <w:t>收取</w:t>
            </w:r>
            <w:r>
              <w:rPr>
                <w:rFonts w:hint="eastAsia" w:ascii="楷体" w:hAnsi="楷体" w:eastAsia="楷体" w:cs="宋体"/>
                <w:color w:val="auto"/>
                <w:spacing w:val="-2"/>
                <w:sz w:val="18"/>
                <w:szCs w:val="18"/>
                <w:highlight w:val="none"/>
              </w:rPr>
              <w:t>的超额业绩报酬以投资周期终止日计提核算的数值为准。</w:t>
            </w:r>
          </w:p>
          <w:p>
            <w:pPr>
              <w:keepNext w:val="0"/>
              <w:keepLines w:val="0"/>
              <w:pageBreakBefore w:val="0"/>
              <w:widowControl w:val="0"/>
              <w:wordWrap/>
              <w:topLinePunct w:val="0"/>
              <w:bidi w:val="0"/>
              <w:snapToGrid/>
              <w:spacing w:line="0" w:lineRule="atLeast"/>
              <w:ind w:left="0" w:leftChars="0" w:right="0" w:rightChars="0"/>
              <w:textAlignment w:val="auto"/>
              <w:rPr>
                <w:sz w:val="18"/>
                <w:szCs w:val="18"/>
              </w:rPr>
            </w:pPr>
            <w:r>
              <w:rPr>
                <w:rFonts w:hint="eastAsia" w:ascii="楷体" w:hAnsi="楷体" w:eastAsia="楷体" w:cs="宋体"/>
                <w:b/>
                <w:spacing w:val="-2"/>
                <w:sz w:val="18"/>
                <w:szCs w:val="18"/>
                <w:u w:val="single"/>
              </w:rPr>
              <w:t>本产品设置</w:t>
            </w:r>
            <w:r>
              <w:rPr>
                <w:rFonts w:hint="eastAsia" w:ascii="楷体" w:hAnsi="楷体" w:eastAsia="楷体" w:cs="宋体"/>
                <w:b/>
                <w:bCs w:val="0"/>
                <w:spacing w:val="-2"/>
                <w:kern w:val="0"/>
                <w:sz w:val="18"/>
                <w:szCs w:val="18"/>
                <w:highlight w:val="none"/>
                <w:u w:val="single"/>
                <w:lang w:val="en-US" w:eastAsia="zh-CN" w:bidi="ar-SA"/>
              </w:rPr>
              <w:t>有多类份额，各类份额按照设置的销售对象和销售起点在不同的销售机构销售，各类份额实际收取的销售服务费率、投资管理费率和超额业绩报酬（如有）可能存在差异，投资者应根据各类份额收费情况自主选择购买。</w:t>
            </w:r>
          </w:p>
          <w:p>
            <w:pPr>
              <w:pStyle w:val="34"/>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0" w:lineRule="atLeast"/>
              <w:ind w:left="0" w:leftChars="0" w:right="0" w:rightChars="0" w:firstLine="0" w:firstLineChars="0"/>
              <w:jc w:val="both"/>
              <w:textAlignment w:val="auto"/>
              <w:rPr>
                <w:rFonts w:ascii="楷体" w:hAnsi="楷体" w:eastAsia="楷体"/>
                <w:sz w:val="18"/>
                <w:szCs w:val="18"/>
              </w:rPr>
            </w:pPr>
            <w:r>
              <w:rPr>
                <w:rFonts w:hint="eastAsia" w:ascii="楷体" w:hAnsi="楷体" w:eastAsia="楷体" w:cs="宋体"/>
                <w:b/>
                <w:bCs w:val="0"/>
                <w:spacing w:val="-2"/>
                <w:sz w:val="18"/>
                <w:szCs w:val="18"/>
                <w:highlight w:val="none"/>
                <w:u w:val="single"/>
              </w:rPr>
              <w:t>产品存续期内管理人有权根据产品运行情况制定费率优惠措施，优惠后实际执行的费率以管理人公告为准</w:t>
            </w:r>
            <w:r>
              <w:rPr>
                <w:rFonts w:hint="eastAsia" w:ascii="楷体" w:hAnsi="楷体" w:eastAsia="楷体" w:cs="宋体"/>
                <w:b/>
                <w:bCs w:val="0"/>
                <w:spacing w:val="-2"/>
                <w:sz w:val="18"/>
                <w:szCs w:val="18"/>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tcBorders>
              <w:bottom w:val="single" w:color="auto" w:sz="4" w:space="0"/>
            </w:tcBorders>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eastAsia" w:ascii="楷体" w:hAnsi="楷体" w:eastAsia="楷体" w:cs="宋体"/>
                <w:b/>
                <w:spacing w:val="-2"/>
                <w:sz w:val="18"/>
                <w:szCs w:val="18"/>
              </w:rPr>
            </w:pPr>
            <w:r>
              <w:rPr>
                <w:rFonts w:hint="eastAsia" w:ascii="楷体" w:hAnsi="楷体" w:eastAsia="楷体" w:cs="宋体"/>
                <w:b/>
                <w:spacing w:val="-2"/>
                <w:sz w:val="18"/>
                <w:szCs w:val="18"/>
              </w:rPr>
              <w:t>收益分配</w:t>
            </w:r>
          </w:p>
        </w:tc>
        <w:tc>
          <w:tcPr>
            <w:tcW w:w="7937" w:type="dxa"/>
            <w:tcBorders>
              <w:bottom w:val="single" w:color="auto" w:sz="4" w:space="0"/>
            </w:tcBorders>
            <w:noWrap w:val="0"/>
            <w:vAlign w:val="center"/>
          </w:tcPr>
          <w:p>
            <w:pPr>
              <w:keepNext w:val="0"/>
              <w:keepLines w:val="0"/>
              <w:pageBreakBefore w:val="0"/>
              <w:widowControl w:val="0"/>
              <w:wordWrap/>
              <w:topLinePunct w:val="0"/>
              <w:bidi w:val="0"/>
              <w:snapToGrid/>
              <w:spacing w:line="0" w:lineRule="atLeast"/>
              <w:ind w:left="0" w:leftChars="0" w:right="0" w:rightChars="0"/>
              <w:textAlignment w:val="auto"/>
              <w:rPr>
                <w:rFonts w:hint="eastAsia" w:ascii="楷体" w:hAnsi="楷体" w:eastAsia="楷体" w:cs="宋体"/>
                <w:spacing w:val="-2"/>
                <w:sz w:val="18"/>
                <w:szCs w:val="18"/>
              </w:rPr>
            </w:pPr>
            <w:r>
              <w:rPr>
                <w:rFonts w:hint="eastAsia" w:ascii="楷体" w:hAnsi="楷体" w:eastAsia="楷体" w:cs="宋体"/>
                <w:spacing w:val="-2"/>
                <w:sz w:val="18"/>
                <w:szCs w:val="18"/>
              </w:rPr>
              <w:t>本产品</w:t>
            </w:r>
            <w:r>
              <w:rPr>
                <w:rFonts w:hint="eastAsia" w:ascii="楷体" w:hAnsi="楷体" w:eastAsia="楷体" w:cs="宋体"/>
                <w:spacing w:val="-2"/>
                <w:sz w:val="18"/>
                <w:szCs w:val="18"/>
                <w:highlight w:val="none"/>
              </w:rPr>
              <w:t>按投资周期进行现金分红</w:t>
            </w:r>
            <w:r>
              <w:rPr>
                <w:rFonts w:hint="eastAsia" w:ascii="楷体" w:hAnsi="楷体" w:eastAsia="楷体" w:cs="宋体"/>
                <w:spacing w:val="-2"/>
                <w:sz w:val="18"/>
                <w:szCs w:val="18"/>
                <w:lang w:eastAsia="zh-CN"/>
              </w:rPr>
              <w:t>。</w:t>
            </w:r>
            <w:r>
              <w:rPr>
                <w:rFonts w:hint="eastAsia" w:ascii="楷体" w:hAnsi="楷体" w:eastAsia="楷体" w:cs="宋体"/>
                <w:spacing w:val="-2"/>
                <w:sz w:val="18"/>
                <w:szCs w:val="18"/>
              </w:rPr>
              <w:t>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2个工作日内到达投资者资金账户。</w:t>
            </w:r>
            <w:r>
              <w:rPr>
                <w:rFonts w:ascii="楷体" w:hAnsi="楷体" w:eastAsia="楷体" w:cs="宋体"/>
                <w:spacing w:val="-2"/>
                <w:sz w:val="18"/>
                <w:szCs w:val="18"/>
              </w:rPr>
              <w:t>详见下文</w:t>
            </w:r>
            <w:r>
              <w:rPr>
                <w:rFonts w:hint="eastAsia" w:ascii="楷体" w:hAnsi="楷体" w:eastAsia="楷体" w:cs="宋体"/>
                <w:spacing w:val="-2"/>
                <w:sz w:val="18"/>
                <w:szCs w:val="18"/>
              </w:rPr>
              <w:t>“收益分配”。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pStyle w:val="34"/>
              <w:keepNext w:val="0"/>
              <w:keepLines w:val="0"/>
              <w:pageBreakBefore w:val="0"/>
              <w:widowControl w:val="0"/>
              <w:kinsoku w:val="0"/>
              <w:wordWrap/>
              <w:overflowPunct w:val="0"/>
              <w:topLinePunct w:val="0"/>
              <w:bidi w:val="0"/>
              <w:snapToGrid/>
              <w:spacing w:before="0" w:line="0" w:lineRule="atLeast"/>
              <w:ind w:left="0" w:leftChars="0"/>
              <w:jc w:val="both"/>
              <w:textAlignment w:val="auto"/>
              <w:rPr>
                <w:rFonts w:hint="default" w:ascii="楷体" w:hAnsi="楷体" w:eastAsia="楷体" w:cs="宋体"/>
                <w:b/>
                <w:spacing w:val="-2"/>
                <w:sz w:val="18"/>
                <w:szCs w:val="18"/>
                <w:lang w:val="en-US"/>
              </w:rPr>
            </w:pPr>
            <w:r>
              <w:rPr>
                <w:rFonts w:hint="eastAsia" w:ascii="楷体" w:hAnsi="楷体" w:eastAsia="楷体" w:cs="宋体"/>
                <w:b/>
                <w:color w:val="auto"/>
                <w:spacing w:val="-2"/>
                <w:sz w:val="18"/>
                <w:szCs w:val="18"/>
                <w:lang w:val="en-US" w:eastAsia="zh-CN"/>
              </w:rPr>
              <w:t>税款</w:t>
            </w:r>
          </w:p>
        </w:tc>
        <w:tc>
          <w:tcPr>
            <w:tcW w:w="7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napToGrid/>
              <w:spacing w:line="0" w:lineRule="atLeast"/>
              <w:ind w:left="0" w:leftChars="0" w:right="0" w:rightChars="0"/>
              <w:textAlignment w:val="auto"/>
              <w:rPr>
                <w:rFonts w:hint="eastAsia" w:ascii="楷体" w:hAnsi="楷体" w:eastAsia="楷体" w:cs="宋体"/>
                <w:spacing w:val="-2"/>
                <w:sz w:val="18"/>
                <w:szCs w:val="18"/>
              </w:rPr>
            </w:pPr>
            <w:r>
              <w:rPr>
                <w:rFonts w:hint="eastAsia" w:ascii="楷体" w:hAnsi="楷体" w:eastAsia="楷体" w:cs="宋体"/>
                <w:color w:val="auto"/>
                <w:spacing w:val="-2"/>
                <w:sz w:val="18"/>
                <w:szCs w:val="18"/>
              </w:rPr>
              <w:t>根据中国增值税等税收相关法律法规、税收政策等要求，</w:t>
            </w:r>
            <w:r>
              <w:rPr>
                <w:rFonts w:hint="eastAsia" w:ascii="楷体" w:hAnsi="楷体" w:eastAsia="楷体" w:cs="宋体"/>
                <w:color w:val="auto"/>
                <w:spacing w:val="-2"/>
                <w:sz w:val="18"/>
                <w:szCs w:val="18"/>
                <w:shd w:val="clear" w:fill="auto"/>
                <w:lang w:val="en-US" w:eastAsia="zh-CN"/>
              </w:rPr>
              <w:t>产品</w:t>
            </w:r>
            <w:r>
              <w:rPr>
                <w:rFonts w:hint="eastAsia" w:ascii="楷体" w:hAnsi="楷体" w:eastAsia="楷体" w:cs="宋体"/>
                <w:color w:val="auto"/>
                <w:spacing w:val="-2"/>
                <w:sz w:val="18"/>
                <w:szCs w:val="18"/>
              </w:rPr>
              <w:t>应缴纳的增值税及附加税费（包括但不限于城市维护建设税、教育费附加及地方教育附加等）由管理人从理财产品财产中支付，由此可能会使理财产品净值或实际收益降低。</w:t>
            </w:r>
            <w:r>
              <w:rPr>
                <w:rFonts w:hint="eastAsia" w:ascii="楷体" w:hAnsi="楷体" w:eastAsia="楷体" w:cs="宋体"/>
                <w:b/>
                <w:bCs/>
                <w:color w:val="auto"/>
                <w:spacing w:val="-2"/>
                <w:sz w:val="18"/>
                <w:szCs w:val="18"/>
                <w:u w:val="single"/>
              </w:rPr>
              <w:t>投资者从理财产品取得的收益应缴纳的税款，由投资者自行申报及缴纳。</w:t>
            </w:r>
          </w:p>
        </w:tc>
      </w:tr>
    </w:tbl>
    <w:p>
      <w:pPr>
        <w:keepNext w:val="0"/>
        <w:keepLines w:val="0"/>
        <w:pageBreakBefore w:val="0"/>
        <w:widowControl w:val="0"/>
        <w:numPr>
          <w:ilvl w:val="0"/>
          <w:numId w:val="2"/>
        </w:numPr>
        <w:tabs>
          <w:tab w:val="left" w:pos="1134"/>
          <w:tab w:val="clear" w:pos="0"/>
        </w:tabs>
        <w:kinsoku/>
        <w:wordWrap/>
        <w:overflowPunct/>
        <w:topLinePunct w:val="0"/>
        <w:autoSpaceDE/>
        <w:autoSpaceDN/>
        <w:bidi w:val="0"/>
        <w:adjustRightInd/>
        <w:snapToGrid/>
        <w:ind w:left="0" w:leftChars="0" w:firstLine="422" w:firstLineChars="200"/>
        <w:textAlignment w:val="auto"/>
        <w:outlineLvl w:val="1"/>
        <w:rPr>
          <w:rFonts w:hint="eastAsia" w:ascii="楷体" w:hAnsi="楷体" w:eastAsia="楷体"/>
          <w:b/>
          <w:sz w:val="21"/>
          <w:szCs w:val="21"/>
        </w:rPr>
      </w:pPr>
      <w:r>
        <w:rPr>
          <w:rFonts w:hint="eastAsia" w:ascii="楷体" w:hAnsi="楷体" w:eastAsia="楷体"/>
          <w:b/>
          <w:sz w:val="21"/>
          <w:szCs w:val="21"/>
        </w:rPr>
        <w:t>产品管理人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本产品管理人为</w:t>
      </w:r>
      <w:r>
        <w:rPr>
          <w:rFonts w:hint="eastAsia" w:ascii="楷体" w:hAnsi="楷体" w:eastAsia="楷体" w:cs="Calibri"/>
          <w:b/>
          <w:bCs/>
          <w:sz w:val="21"/>
          <w:szCs w:val="21"/>
          <w:u w:val="single"/>
        </w:rPr>
        <w:t>苏银理财有限责任公司</w:t>
      </w:r>
      <w:r>
        <w:rPr>
          <w:rFonts w:hint="eastAsia" w:ascii="楷体" w:hAnsi="楷体" w:eastAsia="楷体" w:cs="Calibri"/>
          <w:sz w:val="21"/>
          <w:szCs w:val="21"/>
        </w:rPr>
        <w:t>，苏银理财系江苏银行股份有限公司全资控股的银行理财子公司。公司主要业务范围：面向不特定社会公众公开发行理财产品，对受托的投资和财产进行投资和管理；面向合格投资者非公开发行理财产品，对受托的投资和财产进行投资和管理；理财顾问和咨询服务；经监管机构批准的其他业务等。</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投资者在此授权并同意苏银理财享有以下权利：按照本理财产品合同的约定，管理、运用和处分理财计划资金；按照本理财产品合同的约定，及时、足额获得投资管理费；管理人有权根据本理财产品合同的约定提前终止或延长本理财产品的期限；管理人有权调整本理财产品的认购规模上限、认购起点、认购金额上限、认购资金的最低金额等要素；管理人有权依照法律规定和监管机构的要求将投资者的信息向有权部门或相关机构披露；以理财产品投资管理人的名义，依照法律法规相关规定以及为理财产品的利益，对被投资的各类基金、公司/企业等行使出资人/投资者权利（包括但不限于表决投票的权利）以及行使因理财产品投资于证券类基础资产（含债券）或其他基础资产（包括但不限于债权类资产）所产生的相关权利；以理财产品投资管理人的名义，依照法律法规相关规定以及代表理财产品份额持有人的利益行使代为追索的权利（包括但不限于提起诉讼/仲裁、申请保全/执行的权利）或者实施其他法律行为；法律法规、监管政策和本理财计划文件约定的其他权利。</w:t>
      </w:r>
    </w:p>
    <w:p>
      <w:pPr>
        <w:keepNext w:val="0"/>
        <w:keepLines w:val="0"/>
        <w:pageBreakBefore w:val="0"/>
        <w:widowControl w:val="0"/>
        <w:numPr>
          <w:ilvl w:val="0"/>
          <w:numId w:val="2"/>
        </w:numPr>
        <w:shd w:val="clear" w:color="auto" w:fill="auto"/>
        <w:tabs>
          <w:tab w:val="left" w:pos="1134"/>
          <w:tab w:val="clear" w:pos="0"/>
        </w:tabs>
        <w:kinsoku/>
        <w:wordWrap/>
        <w:overflowPunct/>
        <w:topLinePunct w:val="0"/>
        <w:autoSpaceDE/>
        <w:autoSpaceDN/>
        <w:bidi w:val="0"/>
        <w:adjustRightInd/>
        <w:snapToGrid/>
        <w:ind w:left="0" w:leftChars="0" w:firstLine="422" w:firstLineChars="200"/>
        <w:textAlignment w:val="auto"/>
        <w:outlineLvl w:val="1"/>
        <w:rPr>
          <w:rFonts w:hint="eastAsia" w:ascii="楷体" w:hAnsi="楷体" w:eastAsia="楷体"/>
          <w:b/>
          <w:sz w:val="21"/>
          <w:szCs w:val="21"/>
          <w:highlight w:val="none"/>
        </w:rPr>
      </w:pPr>
      <w:r>
        <w:rPr>
          <w:rFonts w:hint="eastAsia" w:ascii="楷体" w:hAnsi="楷体" w:eastAsia="楷体"/>
          <w:b/>
          <w:sz w:val="21"/>
          <w:szCs w:val="21"/>
          <w:highlight w:val="none"/>
        </w:rPr>
        <w:t>产品托管人</w:t>
      </w:r>
    </w:p>
    <w:p>
      <w:pPr>
        <w:keepNext w:val="0"/>
        <w:keepLines w:val="0"/>
        <w:pageBreakBefore w:val="0"/>
        <w:widowControl w:val="0"/>
        <w:numPr>
          <w:ilvl w:val="0"/>
          <w:numId w:val="0"/>
        </w:numPr>
        <w:tabs>
          <w:tab w:val="left" w:pos="728"/>
        </w:tabs>
        <w:kinsoku/>
        <w:wordWrap/>
        <w:overflowPunct/>
        <w:topLinePunct w:val="0"/>
        <w:autoSpaceDE/>
        <w:autoSpaceDN/>
        <w:bidi w:val="0"/>
        <w:adjustRightInd/>
        <w:snapToGrid/>
        <w:ind w:firstLine="420" w:firstLineChars="200"/>
        <w:textAlignment w:val="auto"/>
        <w:rPr>
          <w:rFonts w:hint="eastAsia" w:ascii="楷体" w:hAnsi="楷体" w:eastAsia="楷体" w:cs="楷体"/>
          <w:b/>
          <w:bCs/>
          <w:sz w:val="21"/>
          <w:szCs w:val="21"/>
          <w:u w:val="single"/>
        </w:rPr>
      </w:pPr>
      <w:r>
        <w:rPr>
          <w:rFonts w:hint="eastAsia" w:ascii="楷体" w:hAnsi="楷体" w:eastAsia="楷体"/>
          <w:color w:val="auto"/>
          <w:sz w:val="21"/>
          <w:szCs w:val="21"/>
          <w:highlight w:val="none"/>
        </w:rPr>
        <w:t>本产品托管人为</w:t>
      </w:r>
      <w:r>
        <w:rPr>
          <w:rFonts w:hint="eastAsia" w:ascii="楷体" w:hAnsi="楷体" w:eastAsia="楷体" w:cs="Calibri"/>
          <w:b/>
          <w:bCs/>
          <w:sz w:val="21"/>
          <w:szCs w:val="21"/>
          <w:u w:val="single"/>
        </w:rPr>
        <w:t>苏银理财有限责任公司</w:t>
      </w:r>
      <w:r>
        <w:rPr>
          <w:rFonts w:hint="eastAsia" w:ascii="楷体" w:hAnsi="楷体" w:eastAsia="楷体"/>
          <w:color w:val="auto"/>
          <w:sz w:val="21"/>
          <w:szCs w:val="21"/>
          <w:highlight w:val="none"/>
        </w:rPr>
        <w:t>。</w:t>
      </w:r>
      <w:r>
        <w:rPr>
          <w:rFonts w:hint="eastAsia" w:ascii="楷体" w:hAnsi="楷体" w:eastAsia="楷体" w:cs="Times New Roman"/>
          <w:color w:val="auto"/>
          <w:sz w:val="21"/>
          <w:szCs w:val="21"/>
          <w:highlight w:val="none"/>
        </w:rPr>
        <w:t>托管人职责</w:t>
      </w:r>
      <w:r>
        <w:rPr>
          <w:rFonts w:hint="eastAsia" w:ascii="楷体" w:hAnsi="楷体" w:eastAsia="楷体" w:cs="Times New Roman"/>
          <w:color w:val="auto"/>
          <w:sz w:val="21"/>
          <w:szCs w:val="21"/>
          <w:highlight w:val="none"/>
          <w:lang w:eastAsia="zh-CN"/>
        </w:rPr>
        <w:t>：</w:t>
      </w:r>
      <w:r>
        <w:rPr>
          <w:rFonts w:hint="eastAsia" w:ascii="楷体" w:hAnsi="楷体" w:eastAsia="楷体" w:cs="Times New Roman"/>
          <w:color w:val="auto"/>
          <w:sz w:val="21"/>
          <w:szCs w:val="21"/>
          <w:highlight w:val="none"/>
        </w:rPr>
        <w:t>安全保管理财产品财产；为理财产品开立银行托管账户、证券账户等；确认与执行理财产品资金划拨指令，办理理财产品资金的收付，核对理财产品资金划拨记录；建立与理财产品管理人的对账机制，复核理财产品资产净值、理财产品份额申购、赎回价格，及时核查投资资金的支付和到账情况；监督理财产品投资运作；办理与理财产品托管业务活动相关的信息披露事项；保存理财产品托管业务活动的记录、账册、报表和其他相关材料；对理财产品投资信息和相关资料承担保密责任；国务院银行业监督管理机构规定的其他职责。</w:t>
      </w:r>
      <w:r>
        <w:rPr>
          <w:rFonts w:hint="eastAsia" w:ascii="楷体" w:hAnsi="楷体" w:eastAsia="楷体" w:cs="楷体"/>
          <w:b/>
          <w:bCs/>
          <w:sz w:val="21"/>
          <w:szCs w:val="21"/>
          <w:u w:val="single"/>
        </w:rPr>
        <w:t>产品管理人在此特别披露：托管人为产品管理人的关联方，产品管理人聘请其担任托管人已履行现行法律法规和监管规定所规定必须履行的程序，产品管理人、投资者同意并接受理财产品由托管人托管。</w:t>
      </w:r>
    </w:p>
    <w:p>
      <w:pPr>
        <w:keepNext w:val="0"/>
        <w:keepLines w:val="0"/>
        <w:pageBreakBefore w:val="0"/>
        <w:widowControl w:val="0"/>
        <w:numPr>
          <w:ilvl w:val="0"/>
          <w:numId w:val="2"/>
        </w:numPr>
        <w:shd w:val="clear" w:color="auto" w:fill="auto"/>
        <w:tabs>
          <w:tab w:val="left" w:pos="1134"/>
          <w:tab w:val="clear" w:pos="0"/>
        </w:tabs>
        <w:kinsoku/>
        <w:wordWrap/>
        <w:overflowPunct/>
        <w:topLinePunct w:val="0"/>
        <w:autoSpaceDE/>
        <w:autoSpaceDN/>
        <w:bidi w:val="0"/>
        <w:adjustRightInd/>
        <w:snapToGrid/>
        <w:ind w:left="0" w:leftChars="0" w:firstLine="422" w:firstLineChars="200"/>
        <w:textAlignment w:val="auto"/>
        <w:outlineLvl w:val="1"/>
        <w:rPr>
          <w:rFonts w:hint="eastAsia" w:ascii="楷体" w:hAnsi="楷体" w:eastAsia="楷体"/>
          <w:b/>
          <w:sz w:val="21"/>
          <w:szCs w:val="21"/>
          <w:highlight w:val="none"/>
        </w:rPr>
      </w:pPr>
      <w:r>
        <w:rPr>
          <w:rFonts w:hint="eastAsia" w:ascii="楷体" w:hAnsi="楷体" w:eastAsia="楷体"/>
          <w:b/>
          <w:sz w:val="21"/>
          <w:szCs w:val="21"/>
          <w:highlight w:val="none"/>
        </w:rPr>
        <w:t>销售机构</w:t>
      </w:r>
    </w:p>
    <w:p>
      <w:pPr>
        <w:numPr>
          <w:ilvl w:val="0"/>
          <w:numId w:val="0"/>
        </w:numPr>
        <w:tabs>
          <w:tab w:val="left" w:pos="1134"/>
        </w:tabs>
        <w:ind w:left="0" w:leftChars="0"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本产品可以通过商业银行、农村合作银行、村镇银行、农村信用合作社等吸收公众存款的银行业金融机构，或者国务院银行业监督管理机构认可的其他机构进行销售。</w:t>
      </w:r>
      <w:r>
        <w:rPr>
          <w:rFonts w:hint="eastAsia" w:ascii="楷体" w:hAnsi="楷体" w:eastAsia="楷体"/>
          <w:b w:val="0"/>
          <w:bCs w:val="0"/>
          <w:sz w:val="21"/>
          <w:szCs w:val="21"/>
          <w:highlight w:val="none"/>
          <w:u w:val="none"/>
        </w:rPr>
        <w:t>销售机构负责理财产品宣传推广、投资者风险承受能力评估和投资者适当性管理、理财产品</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身份识别及反洗钱、反恐怖融资及非居民金融账户涉税信息调查、理财产品份额认购/申购/赎回、协助管理人与投资者订立理财产品</w:t>
      </w:r>
      <w:r>
        <w:rPr>
          <w:rFonts w:hint="eastAsia" w:ascii="楷体" w:hAnsi="楷体" w:eastAsia="楷体"/>
          <w:color w:val="auto"/>
          <w:sz w:val="21"/>
          <w:szCs w:val="21"/>
          <w:lang w:val="en-US" w:eastAsia="zh-CN"/>
        </w:rPr>
        <w:t>销售文件</w:t>
      </w:r>
      <w:r>
        <w:rPr>
          <w:rFonts w:hint="eastAsia" w:ascii="楷体" w:hAnsi="楷体" w:eastAsia="楷体"/>
          <w:b w:val="0"/>
          <w:bCs w:val="0"/>
          <w:sz w:val="21"/>
          <w:szCs w:val="21"/>
          <w:highlight w:val="none"/>
          <w:u w:val="none"/>
        </w:rPr>
        <w:t>、协助投资者与管理人沟通、接受投资者咨询和</w:t>
      </w:r>
      <w:r>
        <w:rPr>
          <w:rFonts w:hint="eastAsia" w:ascii="楷体" w:hAnsi="楷体" w:eastAsia="楷体"/>
          <w:b w:val="0"/>
          <w:bCs w:val="0"/>
          <w:sz w:val="21"/>
          <w:szCs w:val="21"/>
          <w:highlight w:val="none"/>
          <w:u w:val="none"/>
          <w:lang w:val="en-US" w:eastAsia="zh-CN"/>
        </w:rPr>
        <w:t>投资者</w:t>
      </w:r>
      <w:r>
        <w:rPr>
          <w:rFonts w:hint="eastAsia" w:ascii="楷体" w:hAnsi="楷体" w:eastAsia="楷体"/>
          <w:b w:val="0"/>
          <w:bCs w:val="0"/>
          <w:sz w:val="21"/>
          <w:szCs w:val="21"/>
          <w:highlight w:val="none"/>
          <w:u w:val="none"/>
        </w:rPr>
        <w:t>维护等销售服务工作。销售机构不承担产品投资、兑付和风险管理责任，产品的投资、兑付和风险管理责任由管理人承担。</w:t>
      </w:r>
    </w:p>
    <w:p>
      <w:pPr>
        <w:numPr>
          <w:ilvl w:val="0"/>
          <w:numId w:val="0"/>
        </w:numPr>
        <w:tabs>
          <w:tab w:val="left" w:pos="993"/>
        </w:tabs>
        <w:ind w:left="0" w:leftChars="0" w:firstLine="420" w:firstLineChars="200"/>
        <w:rPr>
          <w:rFonts w:hint="eastAsia" w:ascii="楷体" w:hAnsi="楷体" w:eastAsia="楷体"/>
          <w:b w:val="0"/>
          <w:bCs w:val="0"/>
          <w:sz w:val="21"/>
          <w:szCs w:val="21"/>
          <w:highlight w:val="none"/>
          <w:u w:val="none"/>
          <w:lang w:val="en-US" w:eastAsia="zh-CN"/>
        </w:rPr>
      </w:pPr>
      <w:r>
        <w:rPr>
          <w:rFonts w:hint="eastAsia" w:ascii="楷体" w:hAnsi="楷体" w:eastAsia="楷体"/>
          <w:b w:val="0"/>
          <w:bCs w:val="0"/>
          <w:sz w:val="21"/>
          <w:szCs w:val="21"/>
          <w:highlight w:val="none"/>
          <w:u w:val="none"/>
          <w:lang w:val="en-US" w:eastAsia="zh-CN"/>
        </w:rPr>
        <w:t>本产品各类份额销售机构如下：</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ascii="楷体" w:hAnsi="楷体" w:eastAsia="楷体" w:cs="楷体"/>
          <w:sz w:val="21"/>
          <w:szCs w:val="21"/>
          <w:highlight w:val="yellow"/>
          <w:lang w:val="en-US" w:eastAsia="zh-CN"/>
        </w:rPr>
      </w:pPr>
      <w:r>
        <w:rPr>
          <w:rFonts w:hint="eastAsia" w:ascii="楷体" w:hAnsi="楷体" w:eastAsia="楷体" w:cs="楷体"/>
          <w:sz w:val="21"/>
          <w:szCs w:val="21"/>
          <w:highlight w:val="none"/>
          <w:lang w:val="en-US" w:eastAsia="zh-CN"/>
        </w:rPr>
        <w:t>A份额：兴业银行股份有限公司/上海银行股份有限公司/上海农村商业银行股份有限公司/江苏银行股份有限公司/江苏江阴农村商业银行股份有限公司/宁波东海银行股份有限公司/齐鲁银行股份有限公司/苏银理财有限责任公司/九江银行股份有限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兴业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B份额：兴业银行股份有限公司/江苏银行股份有限公司/宁波东海银行股份有限公司/齐鲁银行股份有限公司/苏银理财有限责任公司/江苏扬州农村商业银行股份有限公司/江苏阜宁农村商业银行股份有限公司/江苏丹阳农村商业银行股份有限公司/江苏新沂农村商业银行股份有限公司/江苏如东农村商业银行股份有限公司/江苏东台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邳州农村商业银行股份有限公司/江苏淮安农村商业银行股份有限公司/江苏紫金农村商业银行股份有限公司/江苏涟水农村商业银行股份有限公司/江苏高邮农村商业银行股份有限公司/江苏句容农村商业银行股份有限公司/江苏沭阳农村商业银行股份有限公司/江苏盱眙农村商业银行股份有限公司/江苏宜兴农村商业银行股份有限公司/江苏溧水农村商业银行股份有限公司/江苏海安农村商业银行股份有限公司/江苏如皋农村商业银行股份有限公司/江苏仪征农村商业银行股份有限公司/江苏高淳农村商业银行股份有限公司/威海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C份额：江苏银行股份有限公司/苏银理财有限责任公司</w:t>
      </w:r>
    </w:p>
    <w:p>
      <w:pPr>
        <w:pStyle w:val="2"/>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D份额：上海银行股份有限公司/江苏银行股份有限公司/江苏江阴农村商业银行股份有限公司/江苏南通农村商业银行股份有限公司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lang w:val="en-US" w:eastAsia="zh-CN"/>
        </w:rPr>
        <w:t>F份额：交通银行股份有限公司/北京农村商业银行股份有限公司/深圳农村商业银行股份有限公司/广州银行股份有限公司/广州农村商业银行股份有限公司/苏州银行股份有限公司/杭州联合农村商业银行股份有限公司/华侨银行有限公司/日照银行股份有限公司/浙江绍兴瑞丰农村商业银行股份有限公司/浙江龙湾农村商业银行股份有限公司/潍坊银行股份有限公司/甘肃银行股份有限公司/台州银行股份有限公司/浙江乐清农村商业银行股份有限公司/山西银行股份有限公司/浙江余杭农村商业银行股份有限公司/浙江德清农村商业银行股份有限公司/浙江萧山农村商业银行股份有限公司/宁波慈溪农村商业银行股份有限公司/浙江温州瓯海农村商业银行股份有限公司/九江银行股份有限公司/浙商银行股份有限公司/浙江永康农村商业银行股份有限公司/浙江武义农村商业银行股份有限公司/浙江江山农村商业银行股份有限公司/浙江青田农村商业银行股份有限公司/浙江舟山定海海洋农村商业银行股份有限公司/浙江岱山农村商业银行股份有限公司/宁波通商银行股份有限公司/中邮邮惠万家银行有限责任公司/浙江桐庐农村商业银行股份有限公司/浙江淳安农村商业银行股份有限公司/宁波余姚农村商业银行股份有限公司/浙江永嘉农村商业银行股份有限公司/浙江嘉善农村商业银行股份有限公司/浙江海宁农村商业银行股份有限公司/浙江长兴农村商业银行股份有限公司/浙江上虞农村商业银行股份有限公司/兴业银行股份有限公司</w:t>
      </w:r>
    </w:p>
    <w:p>
      <w:pPr>
        <w:pStyle w:val="2"/>
        <w:keepNext w:val="0"/>
        <w:keepLines w:val="0"/>
        <w:pageBreakBefore w:val="0"/>
        <w:widowControl w:val="0"/>
        <w:kinsoku/>
        <w:wordWrap/>
        <w:overflowPunct/>
        <w:topLinePunct w:val="0"/>
        <w:autoSpaceDE w:val="0"/>
        <w:autoSpaceDN w:val="0"/>
        <w:bidi w:val="0"/>
        <w:adjustRightInd w:val="0"/>
        <w:snapToGrid/>
        <w:spacing w:before="0"/>
        <w:ind w:left="0" w:firstLine="420" w:firstLineChars="200"/>
        <w:textAlignment w:val="auto"/>
        <w:rPr>
          <w:rFonts w:hint="eastAsia" w:ascii="楷体" w:hAnsi="楷体" w:eastAsia="楷体" w:cs="楷体"/>
          <w:kern w:val="2"/>
          <w:sz w:val="21"/>
          <w:szCs w:val="21"/>
          <w:highlight w:val="none"/>
          <w:lang w:val="en-US" w:eastAsia="zh-CN" w:bidi="ar-SA"/>
        </w:rPr>
      </w:pPr>
      <w:r>
        <w:rPr>
          <w:rFonts w:hint="eastAsia" w:ascii="楷体" w:hAnsi="楷体" w:eastAsia="楷体" w:cs="楷体"/>
          <w:kern w:val="2"/>
          <w:sz w:val="21"/>
          <w:szCs w:val="21"/>
          <w:highlight w:val="none"/>
          <w:lang w:val="en-US" w:eastAsia="zh-CN" w:bidi="ar-SA"/>
        </w:rPr>
        <w:t>G份额：徽商银行股份有限公司/深圳农村商业银行股份有限公司/广州农村商业银行股份有限公司/杭州联合农村商业银行股份有限公司/浙江绍兴瑞丰农村商业银行股份有限公司/山西银行股份有限公司/浙江余杭农村商业银行股份有限公司/浙江德清农村商业银行股份有限公司/浙江萧山农村商业银行股份有限公司/浙商银行股份有限公司/浙江衢州衢江农村商业银行股份有限公司/宁波通商银行股份有限公司/浙江永嘉农村商业银行股份有限公司/浙江嘉善农村商业银行股份有限公司/浙江海宁农村商业银行股份有限公司/兴业银行股份有限公司</w:t>
      </w:r>
    </w:p>
    <w:p>
      <w:pPr>
        <w:ind w:firstLine="420" w:firstLineChars="200"/>
        <w:rPr>
          <w:rFonts w:hint="eastAsia" w:ascii="楷体" w:hAnsi="楷体" w:eastAsia="楷体" w:cs="楷体"/>
          <w:kern w:val="2"/>
          <w:sz w:val="21"/>
          <w:szCs w:val="21"/>
          <w:highlight w:val="none"/>
          <w:lang w:val="en-US" w:eastAsia="zh-CN" w:bidi="ar-SA"/>
        </w:rPr>
      </w:pPr>
      <w:r>
        <w:rPr>
          <w:rFonts w:hint="eastAsia" w:ascii="楷体" w:hAnsi="楷体" w:eastAsia="楷体" w:cs="楷体"/>
          <w:kern w:val="2"/>
          <w:sz w:val="21"/>
          <w:szCs w:val="21"/>
          <w:highlight w:val="none"/>
          <w:lang w:val="en-US" w:eastAsia="zh-CN" w:bidi="ar-SA"/>
        </w:rPr>
        <w:t>J份额：上海银行股份有限公司/江苏银行股份有限公司/江苏如皋农村商业银行股份有限公司/威海银行股份有限公司</w:t>
      </w:r>
    </w:p>
    <w:p>
      <w:pPr>
        <w:ind w:firstLine="420" w:firstLineChars="200"/>
        <w:rPr>
          <w:rFonts w:hint="eastAsia" w:ascii="楷体" w:hAnsi="楷体" w:eastAsia="楷体" w:cs="楷体"/>
          <w:kern w:val="2"/>
          <w:sz w:val="21"/>
          <w:szCs w:val="21"/>
          <w:highlight w:val="none"/>
          <w:lang w:val="en-US" w:eastAsia="zh-CN" w:bidi="ar-SA"/>
        </w:rPr>
      </w:pPr>
      <w:r>
        <w:rPr>
          <w:rFonts w:hint="eastAsia" w:ascii="楷体" w:hAnsi="楷体" w:eastAsia="楷体" w:cs="楷体"/>
          <w:kern w:val="2"/>
          <w:sz w:val="21"/>
          <w:szCs w:val="21"/>
          <w:highlight w:val="none"/>
          <w:lang w:val="en-US" w:eastAsia="zh-CN" w:bidi="ar-SA"/>
        </w:rPr>
        <w:t>K份额：交通银行股份有限公司/兴业银行股份有限公司</w:t>
      </w:r>
    </w:p>
    <w:p>
      <w:pPr>
        <w:ind w:firstLine="420" w:firstLineChars="200"/>
        <w:rPr>
          <w:rFonts w:hint="eastAsia" w:ascii="楷体" w:hAnsi="楷体" w:eastAsia="楷体" w:cs="楷体"/>
          <w:kern w:val="2"/>
          <w:sz w:val="21"/>
          <w:szCs w:val="21"/>
          <w:highlight w:val="none"/>
          <w:lang w:val="en-US" w:eastAsia="zh-CN" w:bidi="ar-SA"/>
        </w:rPr>
      </w:pPr>
      <w:r>
        <w:rPr>
          <w:rFonts w:hint="eastAsia" w:ascii="楷体" w:hAnsi="楷体" w:eastAsia="楷体" w:cs="楷体"/>
          <w:kern w:val="2"/>
          <w:sz w:val="21"/>
          <w:szCs w:val="21"/>
          <w:highlight w:val="none"/>
          <w:lang w:val="en-US" w:eastAsia="zh-CN" w:bidi="ar-SA"/>
        </w:rPr>
        <w:t>P份额：郑州银行股份有限公司/徽商银行股份有限公司（仅限合肥分行）</w:t>
      </w:r>
    </w:p>
    <w:p>
      <w:pPr>
        <w:ind w:firstLine="420" w:firstLineChars="200"/>
        <w:rPr>
          <w:rFonts w:hint="default" w:ascii="楷体" w:hAnsi="楷体" w:eastAsia="楷体" w:cs="楷体"/>
          <w:kern w:val="2"/>
          <w:sz w:val="21"/>
          <w:szCs w:val="21"/>
          <w:highlight w:val="none"/>
          <w:lang w:val="en-US" w:eastAsia="zh-CN" w:bidi="ar-SA"/>
        </w:rPr>
      </w:pPr>
      <w:r>
        <w:rPr>
          <w:rFonts w:hint="eastAsia" w:ascii="楷体" w:hAnsi="楷体" w:eastAsia="楷体" w:cs="楷体"/>
          <w:kern w:val="2"/>
          <w:sz w:val="21"/>
          <w:szCs w:val="21"/>
          <w:highlight w:val="none"/>
          <w:lang w:val="en-US" w:eastAsia="zh-CN" w:bidi="ar-SA"/>
        </w:rPr>
        <w:t>T份额：江苏紫金农村商业银行股份有限公司</w:t>
      </w:r>
    </w:p>
    <w:p>
      <w:pPr>
        <w:ind w:firstLine="420" w:firstLineChars="200"/>
        <w:rPr>
          <w:rFonts w:hint="eastAsia" w:ascii="楷体" w:hAnsi="楷体" w:eastAsia="楷体" w:cs="楷体"/>
          <w:kern w:val="2"/>
          <w:sz w:val="21"/>
          <w:szCs w:val="21"/>
          <w:highlight w:val="none"/>
          <w:lang w:val="en-US" w:eastAsia="zh-CN" w:bidi="ar-SA"/>
        </w:rPr>
      </w:pPr>
      <w:r>
        <w:rPr>
          <w:rFonts w:hint="eastAsia" w:ascii="楷体" w:hAnsi="楷体" w:eastAsia="楷体" w:cs="楷体"/>
          <w:kern w:val="2"/>
          <w:sz w:val="21"/>
          <w:szCs w:val="21"/>
          <w:highlight w:val="none"/>
          <w:lang w:val="en-US" w:eastAsia="zh-CN" w:bidi="ar-SA"/>
        </w:rPr>
        <w:t>ZA份额：江苏苏州农村商业银行股份有限公司/江苏扬州农村商业银行股份有限公司/江苏阜宁农村商业银行股份有限公司/江苏丹阳农村商业银行股份有限公司/江苏盐城农村商业银行股份有限公司/江苏如东农村商业银行股份有限公司/江苏东台农村商业银行股份有限公司/江苏江都农村商业银行股份有限公司/江苏泰兴农村商业银行股份有限公司/江苏扬中农村商业银行股份有限公司/江苏靖江农村商业银行股份有限公司/徐州农村商业银行股份有限公司/江苏南通农村商业银行股份有限公司/江苏洪泽农村商业银行股份有限公司/江苏金湖农村商业银行股份有限公司/江苏灌云农村商业银行股份有限公司/江苏淮安农村商业银行股份有限公司/连云港东方农村商业银行股份有限公司/江苏高邮农村商业银行股份有限公司/江苏句容农村商业银行股份有限公司/江苏沭阳农村商业银行股份有限公司/江苏泗阳农村商业银行股份有限公司/江苏睢宁农村商业银行股份有限公司/江苏盱眙农村商业银行股份有限公司/江苏镇江农村商业银行股份有限公司/江苏宜兴农村商业银行股份有限公司/江苏溧水农村商业银行股份有限公司/江苏大丰农村商业银行股份有限公司/江苏启东农村商业银行股份有限公司/江苏海安农村商业银行股份有限公司/江苏仪征农村商业银行股份有限公司/江苏高淳农村商业银行股份有限公司/威海银行股份有限公司</w:t>
      </w:r>
    </w:p>
    <w:p>
      <w:pPr>
        <w:pStyle w:val="2"/>
        <w:keepNext w:val="0"/>
        <w:keepLines w:val="0"/>
        <w:pageBreakBefore w:val="0"/>
        <w:widowControl w:val="0"/>
        <w:kinsoku/>
        <w:wordWrap/>
        <w:overflowPunct/>
        <w:topLinePunct w:val="0"/>
        <w:autoSpaceDE w:val="0"/>
        <w:autoSpaceDN w:val="0"/>
        <w:bidi w:val="0"/>
        <w:adjustRightInd w:val="0"/>
        <w:snapToGrid/>
        <w:spacing w:before="0"/>
        <w:ind w:left="0" w:firstLine="420" w:firstLineChars="200"/>
        <w:textAlignment w:val="auto"/>
        <w:rPr>
          <w:rFonts w:hint="eastAsia" w:ascii="楷体" w:hAnsi="楷体" w:eastAsia="楷体" w:cs="楷体"/>
          <w:kern w:val="2"/>
          <w:sz w:val="21"/>
          <w:szCs w:val="21"/>
          <w:highlight w:val="none"/>
          <w:lang w:val="en-US" w:eastAsia="zh-CN" w:bidi="ar-SA"/>
        </w:rPr>
      </w:pPr>
      <w:r>
        <w:rPr>
          <w:rFonts w:hint="eastAsia" w:ascii="楷体" w:hAnsi="楷体" w:eastAsia="楷体" w:cs="楷体"/>
          <w:kern w:val="2"/>
          <w:sz w:val="21"/>
          <w:szCs w:val="21"/>
          <w:highlight w:val="none"/>
          <w:lang w:val="en-US" w:eastAsia="zh-CN" w:bidi="ar-SA"/>
        </w:rPr>
        <w:t>ZF份额：汉口银行股份有限公司/江苏张家港农村商业银行股份有限公司/河北银行股份有限公司/嘉兴银行股份有限公司/厦门银行股份有限公司/苏州银行股份有限公司/浙江龙湾农村商业银行股份有限公司/浙江新昌农村商业银行股份有限公司/浙江义乌农村商业银行股份有限公司/浙江余杭农村商业银行股份有限公司/浙江德清农村商业银行股份有限公司/浙江萧山农村商业银行股份有限公司/宁波慈溪农村商业银行股份有限公司/浙江温州瓯海农村商业银行股份有限公司/莱商银行股份有限公司/浙江兰溪农村商业银行股份有限公司/浙江永康农村商业银行股份有限公司/浙江浦江农村商业银行股份有限公司/浙江衢州柯城农村商业银行股份有限公司/浙江青田农村商业银行股份有限公司/浙江温岭农村商业银行股份有限公司/浙江岱山农村商业银行股份有限公司/浙江临安农村商业银行股份有限公司/宁波余姚农村商业银行股份有限公司/浙江嘉善农村商业银行股份有限公司/浙江上虞农村商业银行股份有限公司/兴业银行股份有限公司</w:t>
      </w:r>
    </w:p>
    <w:p>
      <w:pPr>
        <w:keepNext w:val="0"/>
        <w:keepLines w:val="0"/>
        <w:pageBreakBefore w:val="0"/>
        <w:widowControl w:val="0"/>
        <w:kinsoku/>
        <w:wordWrap/>
        <w:overflowPunct/>
        <w:topLinePunct w:val="0"/>
        <w:bidi w:val="0"/>
        <w:snapToGrid/>
        <w:ind w:left="0" w:firstLine="420" w:firstLineChars="200"/>
        <w:textAlignment w:val="auto"/>
        <w:rPr>
          <w:rFonts w:hint="eastAsia" w:ascii="楷体" w:hAnsi="楷体" w:eastAsia="楷体" w:cs="楷体"/>
          <w:kern w:val="2"/>
          <w:sz w:val="21"/>
          <w:szCs w:val="21"/>
          <w:highlight w:val="none"/>
          <w:lang w:val="en-US" w:eastAsia="zh-CN" w:bidi="ar-SA"/>
        </w:rPr>
      </w:pPr>
      <w:r>
        <w:rPr>
          <w:rFonts w:hint="eastAsia" w:ascii="楷体" w:hAnsi="楷体" w:eastAsia="楷体" w:cs="楷体"/>
          <w:kern w:val="2"/>
          <w:sz w:val="21"/>
          <w:szCs w:val="21"/>
          <w:highlight w:val="none"/>
          <w:lang w:val="en-US" w:eastAsia="zh-CN" w:bidi="ar-SA"/>
        </w:rPr>
        <w:t>ZN份额：河北银行股份有限公司/宁波通商银行股份有限公司</w:t>
      </w:r>
    </w:p>
    <w:p>
      <w:pPr>
        <w:pStyle w:val="2"/>
        <w:keepNext w:val="0"/>
        <w:keepLines w:val="0"/>
        <w:pageBreakBefore w:val="0"/>
        <w:widowControl w:val="0"/>
        <w:kinsoku/>
        <w:wordWrap/>
        <w:overflowPunct/>
        <w:topLinePunct w:val="0"/>
        <w:bidi w:val="0"/>
        <w:snapToGrid/>
        <w:spacing w:before="0"/>
        <w:ind w:left="0" w:firstLine="420" w:firstLineChars="200"/>
        <w:textAlignment w:val="auto"/>
        <w:rPr>
          <w:rFonts w:hint="default"/>
          <w:lang w:val="en-US" w:eastAsia="zh-CN"/>
        </w:rPr>
      </w:pPr>
      <w:r>
        <w:rPr>
          <w:rFonts w:hint="eastAsia" w:ascii="楷体" w:hAnsi="楷体" w:eastAsia="楷体" w:cs="楷体"/>
          <w:kern w:val="2"/>
          <w:sz w:val="21"/>
          <w:szCs w:val="21"/>
          <w:highlight w:val="none"/>
          <w:lang w:val="en-US" w:eastAsia="zh-CN" w:bidi="ar-SA"/>
        </w:rPr>
        <w:t>ZQ份额：江苏苏州农村商业银行股份有限公司</w:t>
      </w:r>
    </w:p>
    <w:p>
      <w:pPr>
        <w:keepNext w:val="0"/>
        <w:keepLines w:val="0"/>
        <w:pageBreakBefore w:val="0"/>
        <w:widowControl w:val="0"/>
        <w:numPr>
          <w:ilvl w:val="0"/>
          <w:numId w:val="2"/>
        </w:numPr>
        <w:tabs>
          <w:tab w:val="left" w:pos="1134"/>
          <w:tab w:val="clear" w:pos="0"/>
        </w:tabs>
        <w:kinsoku/>
        <w:wordWrap/>
        <w:overflowPunct/>
        <w:topLinePunct w:val="0"/>
        <w:autoSpaceDE/>
        <w:autoSpaceDN/>
        <w:bidi w:val="0"/>
        <w:adjustRightInd/>
        <w:snapToGrid/>
        <w:ind w:left="0" w:leftChars="0" w:firstLine="422" w:firstLineChars="200"/>
        <w:textAlignment w:val="auto"/>
        <w:outlineLvl w:val="1"/>
        <w:rPr>
          <w:rFonts w:hint="eastAsia" w:ascii="楷体" w:hAnsi="楷体" w:eastAsia="楷体"/>
          <w:b/>
          <w:sz w:val="21"/>
          <w:szCs w:val="21"/>
        </w:rPr>
      </w:pPr>
      <w:r>
        <w:rPr>
          <w:rFonts w:hint="eastAsia" w:ascii="楷体" w:hAnsi="楷体" w:eastAsia="楷体"/>
          <w:b/>
          <w:sz w:val="21"/>
          <w:szCs w:val="21"/>
        </w:rPr>
        <w:t>名词释义</w:t>
      </w:r>
    </w:p>
    <w:p>
      <w:pPr>
        <w:ind w:firstLine="420" w:firstLineChars="200"/>
        <w:rPr>
          <w:rFonts w:hint="eastAsia" w:ascii="楷体" w:hAnsi="楷体" w:eastAsia="楷体"/>
          <w:sz w:val="21"/>
          <w:szCs w:val="21"/>
        </w:rPr>
      </w:pPr>
      <w:r>
        <w:rPr>
          <w:rFonts w:hint="eastAsia" w:ascii="楷体" w:hAnsi="楷体" w:eastAsia="楷体"/>
          <w:sz w:val="21"/>
          <w:szCs w:val="21"/>
        </w:rPr>
        <w:t>在本理财产品说明书中，除非上下文另有明确约定，下列用词将具有如下含义：</w:t>
      </w:r>
    </w:p>
    <w:p>
      <w:pPr>
        <w:numPr>
          <w:ilvl w:val="0"/>
          <w:numId w:val="3"/>
        </w:numPr>
        <w:tabs>
          <w:tab w:val="left" w:pos="993"/>
        </w:tabs>
        <w:ind w:left="0" w:firstLine="420" w:firstLineChars="200"/>
        <w:outlineLvl w:val="2"/>
        <w:rPr>
          <w:rFonts w:hint="eastAsia" w:ascii="楷体" w:hAnsi="楷体" w:eastAsia="楷体" w:cs="Calibri"/>
          <w:b w:val="0"/>
          <w:bCs/>
          <w:sz w:val="21"/>
          <w:szCs w:val="21"/>
        </w:rPr>
      </w:pPr>
      <w:r>
        <w:rPr>
          <w:rFonts w:hint="eastAsia" w:ascii="楷体" w:hAnsi="楷体" w:eastAsia="楷体" w:cs="Calibri"/>
          <w:b w:val="0"/>
          <w:bCs/>
          <w:sz w:val="21"/>
          <w:szCs w:val="21"/>
        </w:rPr>
        <w:t>理财产品用语</w:t>
      </w:r>
    </w:p>
    <w:p>
      <w:pPr>
        <w:numPr>
          <w:ilvl w:val="0"/>
          <w:numId w:val="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销售代码：指本理财产品可能设置一</w:t>
      </w:r>
      <w:r>
        <w:rPr>
          <w:rFonts w:hint="eastAsia" w:ascii="楷体" w:hAnsi="楷体" w:eastAsia="楷体" w:cs="Calibri"/>
          <w:sz w:val="21"/>
          <w:szCs w:val="21"/>
          <w:lang w:val="en-US" w:eastAsia="zh-CN"/>
        </w:rPr>
        <w:t>类</w:t>
      </w:r>
      <w:r>
        <w:rPr>
          <w:rFonts w:hint="eastAsia" w:ascii="楷体" w:hAnsi="楷体" w:eastAsia="楷体" w:cs="Calibri"/>
          <w:sz w:val="21"/>
          <w:szCs w:val="21"/>
        </w:rPr>
        <w:t>或多</w:t>
      </w:r>
      <w:r>
        <w:rPr>
          <w:rFonts w:hint="eastAsia" w:ascii="楷体" w:hAnsi="楷体" w:eastAsia="楷体" w:cs="Calibri"/>
          <w:sz w:val="21"/>
          <w:szCs w:val="21"/>
          <w:lang w:val="en-US" w:eastAsia="zh-CN"/>
        </w:rPr>
        <w:t>类</w:t>
      </w:r>
      <w:r>
        <w:rPr>
          <w:rFonts w:hint="eastAsia" w:ascii="楷体" w:hAnsi="楷体" w:eastAsia="楷体" w:cs="Calibri"/>
          <w:sz w:val="21"/>
          <w:szCs w:val="21"/>
        </w:rPr>
        <w:t>产品份额，管理人在理财产品销售管理过程中对各</w:t>
      </w:r>
      <w:r>
        <w:rPr>
          <w:rFonts w:hint="eastAsia" w:ascii="楷体" w:hAnsi="楷体" w:eastAsia="楷体" w:cs="Calibri"/>
          <w:sz w:val="21"/>
          <w:szCs w:val="21"/>
          <w:lang w:val="en-US" w:eastAsia="zh-CN"/>
        </w:rPr>
        <w:t>类</w:t>
      </w:r>
      <w:r>
        <w:rPr>
          <w:rFonts w:hint="eastAsia" w:ascii="楷体" w:hAnsi="楷体" w:eastAsia="楷体" w:cs="Calibri"/>
          <w:sz w:val="21"/>
          <w:szCs w:val="21"/>
        </w:rPr>
        <w:t>份额设置的</w:t>
      </w:r>
      <w:r>
        <w:rPr>
          <w:rFonts w:hint="eastAsia" w:ascii="楷体" w:hAnsi="楷体" w:eastAsia="楷体" w:cs="Calibri"/>
          <w:sz w:val="21"/>
          <w:szCs w:val="21"/>
          <w:lang w:val="en-US" w:eastAsia="zh-CN"/>
        </w:rPr>
        <w:t>内部代</w:t>
      </w:r>
      <w:r>
        <w:rPr>
          <w:rFonts w:hint="eastAsia" w:ascii="楷体" w:hAnsi="楷体" w:eastAsia="楷体" w:cs="Calibri"/>
          <w:sz w:val="21"/>
          <w:szCs w:val="21"/>
        </w:rPr>
        <w:t>码。</w:t>
      </w:r>
    </w:p>
    <w:p>
      <w:pPr>
        <w:numPr>
          <w:ilvl w:val="0"/>
          <w:numId w:val="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理财产品份额：指投资者持有本理财产品的单位数额。</w:t>
      </w:r>
    </w:p>
    <w:p>
      <w:pPr>
        <w:numPr>
          <w:ilvl w:val="0"/>
          <w:numId w:val="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lang w:val="en-US" w:eastAsia="zh-CN"/>
        </w:rPr>
        <w:t>理财</w:t>
      </w:r>
      <w:r>
        <w:rPr>
          <w:rFonts w:hint="eastAsia" w:ascii="楷体" w:hAnsi="楷体" w:eastAsia="楷体" w:cs="Calibri"/>
          <w:sz w:val="21"/>
          <w:szCs w:val="21"/>
        </w:rPr>
        <w:t>产品资产总值：指产品拥有的各类有价证券、银行存款、应收款项及其他资产的价值总和。</w:t>
      </w:r>
    </w:p>
    <w:p>
      <w:pPr>
        <w:numPr>
          <w:ilvl w:val="0"/>
          <w:numId w:val="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lang w:val="en-US" w:eastAsia="zh-CN"/>
        </w:rPr>
        <w:t>理财</w:t>
      </w:r>
      <w:r>
        <w:rPr>
          <w:rFonts w:hint="eastAsia" w:ascii="楷体" w:hAnsi="楷体" w:eastAsia="楷体" w:cs="Calibri"/>
          <w:sz w:val="21"/>
          <w:szCs w:val="21"/>
        </w:rPr>
        <w:t>产品负债总值：指产品运作及融资时形成的负债价值总和，包括融资资金本息、应付各项费用（包括托管费、销售服务费、投资管理费、超额业绩报酬、其他费用等）、应付税金及其他应付款项等。</w:t>
      </w:r>
    </w:p>
    <w:p>
      <w:pPr>
        <w:numPr>
          <w:ilvl w:val="0"/>
          <w:numId w:val="4"/>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理财产品资产净值/净资产：指产品资产总值减去产品负债总值后的价值。</w:t>
      </w:r>
    </w:p>
    <w:p>
      <w:pPr>
        <w:numPr>
          <w:ilvl w:val="0"/>
          <w:numId w:val="4"/>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理财产品份额单位净值/理财产品单位净值/单位净值：指每1份理财产品份额以人民币计价的价格。理财产品单位净值=资产净值/产品总份额。</w:t>
      </w:r>
    </w:p>
    <w:p>
      <w:pPr>
        <w:numPr>
          <w:ilvl w:val="0"/>
          <w:numId w:val="4"/>
        </w:numPr>
        <w:tabs>
          <w:tab w:val="left" w:pos="851"/>
        </w:tabs>
        <w:ind w:left="0" w:firstLine="420" w:firstLineChars="200"/>
        <w:rPr>
          <w:rFonts w:hint="eastAsia" w:ascii="楷体" w:hAnsi="楷体" w:eastAsia="楷体" w:cs="Calibri"/>
          <w:sz w:val="21"/>
          <w:szCs w:val="21"/>
          <w:highlight w:val="none"/>
        </w:rPr>
      </w:pPr>
      <w:r>
        <w:rPr>
          <w:rFonts w:hint="eastAsia" w:ascii="楷体" w:hAnsi="楷体" w:eastAsia="楷体" w:cs="Calibri"/>
          <w:sz w:val="21"/>
          <w:szCs w:val="21"/>
          <w:highlight w:val="none"/>
          <w:lang w:val="en-US" w:eastAsia="zh-CN"/>
        </w:rPr>
        <w:t>流动性受限资产：</w:t>
      </w:r>
      <w:r>
        <w:rPr>
          <w:rFonts w:hint="eastAsia" w:ascii="楷体" w:hAnsi="楷体" w:eastAsia="楷体" w:cs="Calibri"/>
          <w:kern w:val="2"/>
          <w:sz w:val="21"/>
          <w:szCs w:val="21"/>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numPr>
          <w:ilvl w:val="0"/>
          <w:numId w:val="4"/>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kern w:val="2"/>
          <w:sz w:val="21"/>
          <w:szCs w:val="21"/>
          <w:highlight w:val="none"/>
        </w:rPr>
        <w:t>7个工作日可变现资产</w:t>
      </w:r>
      <w:r>
        <w:rPr>
          <w:rFonts w:hint="eastAsia" w:ascii="楷体" w:hAnsi="楷体" w:eastAsia="楷体" w:cs="Calibri"/>
          <w:kern w:val="2"/>
          <w:sz w:val="21"/>
          <w:szCs w:val="21"/>
          <w:highlight w:val="none"/>
          <w:lang w:eastAsia="zh-CN"/>
        </w:rPr>
        <w:t>：</w:t>
      </w:r>
      <w:r>
        <w:rPr>
          <w:rFonts w:hint="eastAsia" w:ascii="楷体" w:hAnsi="楷体" w:eastAsia="楷体" w:cs="Calibri"/>
          <w:kern w:val="2"/>
          <w:sz w:val="21"/>
          <w:szCs w:val="21"/>
          <w:highlight w:val="none"/>
        </w:rPr>
        <w:t>包括可在交易所、银行间市场正常交易的股票、债券、非金融企业债务融资工具、期货及期权合约以及同业存单，7个工作日内到期或可支取的买入返售、银行存款，7个工作日内能够确认收到的各类应收款项等。</w:t>
      </w:r>
    </w:p>
    <w:p>
      <w:pPr>
        <w:numPr>
          <w:ilvl w:val="0"/>
          <w:numId w:val="3"/>
        </w:numPr>
        <w:tabs>
          <w:tab w:val="left" w:pos="993"/>
        </w:tabs>
        <w:ind w:left="0" w:firstLine="420" w:firstLineChars="200"/>
        <w:outlineLvl w:val="2"/>
        <w:rPr>
          <w:rFonts w:hint="eastAsia" w:ascii="楷体" w:hAnsi="楷体" w:eastAsia="楷体" w:cs="Calibri"/>
          <w:b w:val="0"/>
          <w:bCs/>
          <w:sz w:val="21"/>
          <w:szCs w:val="21"/>
        </w:rPr>
      </w:pPr>
      <w:r>
        <w:rPr>
          <w:rFonts w:hint="eastAsia" w:ascii="楷体" w:hAnsi="楷体" w:eastAsia="楷体" w:cs="Calibri"/>
          <w:b w:val="0"/>
          <w:bCs/>
          <w:sz w:val="21"/>
          <w:szCs w:val="21"/>
        </w:rPr>
        <w:t>期间与日期</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工作日：指国家法定工作日。</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交易日：</w:t>
      </w:r>
      <w:r>
        <w:rPr>
          <w:rFonts w:ascii="楷体" w:hAnsi="楷体" w:eastAsia="楷体" w:cs="Calibri"/>
          <w:sz w:val="21"/>
          <w:szCs w:val="21"/>
        </w:rPr>
        <w:t>指上海证券交易所和深圳证券交易所的正常开盘交易日</w:t>
      </w:r>
      <w:r>
        <w:rPr>
          <w:rFonts w:hint="eastAsia" w:ascii="楷体" w:hAnsi="楷体" w:eastAsia="楷体" w:cs="Calibri"/>
          <w:sz w:val="21"/>
          <w:szCs w:val="21"/>
        </w:rPr>
        <w:t>。</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份额登记日/份额确认日：</w:t>
      </w:r>
      <w:r>
        <w:rPr>
          <w:rFonts w:hint="eastAsia" w:ascii="楷体" w:hAnsi="楷体" w:eastAsia="楷体" w:cs="Calibri"/>
          <w:color w:val="auto"/>
          <w:sz w:val="21"/>
          <w:szCs w:val="21"/>
        </w:rPr>
        <w:t>指管理人对投资者提交的</w:t>
      </w:r>
      <w:r>
        <w:rPr>
          <w:rFonts w:hint="eastAsia" w:ascii="楷体" w:hAnsi="楷体" w:eastAsia="楷体" w:cs="Calibri"/>
          <w:color w:val="auto"/>
          <w:sz w:val="21"/>
          <w:szCs w:val="21"/>
          <w:lang w:val="en-US" w:eastAsia="zh-CN"/>
        </w:rPr>
        <w:t>购买</w:t>
      </w:r>
      <w:r>
        <w:rPr>
          <w:rFonts w:hint="eastAsia" w:ascii="楷体" w:hAnsi="楷体" w:eastAsia="楷体" w:cs="Calibri"/>
          <w:color w:val="auto"/>
          <w:sz w:val="21"/>
          <w:szCs w:val="21"/>
        </w:rPr>
        <w:t>申请进行份额登记的日期</w:t>
      </w:r>
      <w:r>
        <w:rPr>
          <w:rFonts w:hint="eastAsia" w:ascii="楷体" w:hAnsi="楷体" w:eastAsia="楷体" w:cs="Calibri"/>
          <w:sz w:val="21"/>
          <w:szCs w:val="21"/>
        </w:rPr>
        <w:t>。</w:t>
      </w:r>
    </w:p>
    <w:p>
      <w:pPr>
        <w:numPr>
          <w:ilvl w:val="0"/>
          <w:numId w:val="5"/>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投资周期：投资周期指投资者持有理财产品份额所对应的理财资金由产品管理人进行投资运作的一段完整期间，每一个投资周期为该投资周期起始日至该投资周期终止日的理财期间。</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开放日：指投资周期终止日。开放计划内的申购、赎回申请，将以开放日的净值进行确认。</w:t>
      </w:r>
    </w:p>
    <w:p>
      <w:pPr>
        <w:numPr>
          <w:ilvl w:val="0"/>
          <w:numId w:val="5"/>
        </w:numPr>
        <w:tabs>
          <w:tab w:val="left" w:pos="851"/>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产品存续期：指自理财产品成立日起，至理财产品终止日的期间。</w:t>
      </w:r>
    </w:p>
    <w:p>
      <w:pPr>
        <w:keepNext w:val="0"/>
        <w:keepLines w:val="0"/>
        <w:pageBreakBefore w:val="0"/>
        <w:widowControl w:val="0"/>
        <w:numPr>
          <w:ilvl w:val="0"/>
          <w:numId w:val="2"/>
        </w:numPr>
        <w:tabs>
          <w:tab w:val="left" w:pos="1134"/>
          <w:tab w:val="clear" w:pos="0"/>
        </w:tabs>
        <w:kinsoku/>
        <w:wordWrap/>
        <w:overflowPunct/>
        <w:topLinePunct w:val="0"/>
        <w:autoSpaceDE/>
        <w:autoSpaceDN/>
        <w:bidi w:val="0"/>
        <w:adjustRightInd/>
        <w:snapToGrid/>
        <w:ind w:left="0" w:leftChars="0" w:firstLine="422" w:firstLineChars="200"/>
        <w:textAlignment w:val="auto"/>
        <w:outlineLvl w:val="1"/>
        <w:rPr>
          <w:rFonts w:hint="eastAsia" w:ascii="楷体" w:hAnsi="楷体" w:eastAsia="楷体"/>
          <w:b/>
          <w:sz w:val="21"/>
          <w:szCs w:val="21"/>
        </w:rPr>
      </w:pPr>
      <w:r>
        <w:rPr>
          <w:rFonts w:hint="eastAsia" w:ascii="楷体" w:hAnsi="楷体" w:eastAsia="楷体"/>
          <w:b/>
          <w:sz w:val="21"/>
          <w:szCs w:val="21"/>
        </w:rPr>
        <w:t>投资管理</w:t>
      </w:r>
    </w:p>
    <w:p>
      <w:pPr>
        <w:numPr>
          <w:ilvl w:val="0"/>
          <w:numId w:val="6"/>
        </w:numPr>
        <w:tabs>
          <w:tab w:val="left" w:pos="993"/>
        </w:tabs>
        <w:ind w:left="0" w:firstLine="420" w:firstLineChars="200"/>
        <w:outlineLvl w:val="2"/>
        <w:rPr>
          <w:rFonts w:ascii="楷体" w:hAnsi="楷体" w:eastAsia="楷体" w:cs="Calibri"/>
          <w:b w:val="0"/>
          <w:bCs/>
          <w:sz w:val="21"/>
          <w:szCs w:val="21"/>
        </w:rPr>
      </w:pPr>
      <w:r>
        <w:rPr>
          <w:rFonts w:hint="eastAsia" w:ascii="楷体" w:hAnsi="楷体" w:eastAsia="楷体" w:cs="Calibri"/>
          <w:b w:val="0"/>
          <w:bCs/>
          <w:sz w:val="21"/>
          <w:szCs w:val="21"/>
        </w:rPr>
        <w:t>投资范围和比例</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理财产品直接或间接投资于货币市场工具类资产、银行存款（含结构性存款）、标准化债权类资产、非标准化债权类资产和监管机构允许投资的其他资产。具体资产投资比例为：货币市场工具、银行存款（含结构性存款）、债券以及符合监管要求的固定收益类资产占产品资产总值比例为80%-100%，符合监管要求的其他资产占产品资产总值比例0%-20%，其中非标准化债权类资产合计投资比例不高于产品净资产50%。</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本理财产品在开放日及开放日前7个工作日内持有不低于产品资产净值5%的现金或者到期日在一年以内的国债、中央银行票据和政策性金融债券；直接投资于流动性受限资产的市值在开放日不得超过产品资产净值的15%；在开放日前一工作日内，7个工作日可变现资产的可变现价值应当不低于产品资产净值的10%；每日确认且需当日支付的净赎回申请不超过前一工作日理财产品7个工作日可变现资产的可变现价值。</w:t>
      </w:r>
    </w:p>
    <w:p>
      <w:pPr>
        <w:ind w:firstLine="420" w:firstLineChars="200"/>
        <w:rPr>
          <w:rFonts w:hint="eastAsia" w:ascii="楷体" w:hAnsi="楷体" w:eastAsia="楷体"/>
          <w:sz w:val="21"/>
          <w:szCs w:val="21"/>
        </w:rPr>
      </w:pPr>
      <w:r>
        <w:rPr>
          <w:rFonts w:hint="eastAsia" w:ascii="楷体" w:hAnsi="楷体" w:eastAsia="楷体"/>
          <w:sz w:val="21"/>
          <w:szCs w:val="21"/>
        </w:rPr>
        <w:t>相关法律法规和监管部门对以上投资范围和配置比例有另行规定的，按照监管最新规定执行。非因管理人主观因素导致突破前述比例限制的，管理人将在流动性受限资产可出售、可转让或者恢复交易的15个交易日内调整至符合相关要求。</w:t>
      </w:r>
    </w:p>
    <w:p>
      <w:pPr>
        <w:numPr>
          <w:ilvl w:val="0"/>
          <w:numId w:val="6"/>
        </w:numPr>
        <w:tabs>
          <w:tab w:val="left" w:pos="993"/>
        </w:tabs>
        <w:ind w:left="0" w:firstLine="420" w:firstLineChars="200"/>
        <w:outlineLvl w:val="2"/>
        <w:rPr>
          <w:rFonts w:hint="eastAsia" w:ascii="楷体" w:hAnsi="楷体" w:eastAsia="楷体" w:cs="Calibri"/>
          <w:b w:val="0"/>
          <w:bCs/>
          <w:sz w:val="21"/>
          <w:szCs w:val="21"/>
          <w:lang w:val="en-US" w:eastAsia="zh-CN"/>
        </w:rPr>
      </w:pPr>
      <w:r>
        <w:rPr>
          <w:rFonts w:hint="eastAsia" w:ascii="楷体" w:hAnsi="楷体" w:eastAsia="楷体" w:cs="Calibri"/>
          <w:b w:val="0"/>
          <w:bCs/>
          <w:sz w:val="21"/>
          <w:szCs w:val="21"/>
          <w:lang w:val="en-US" w:eastAsia="zh-CN"/>
        </w:rPr>
        <w:t>投资策略</w:t>
      </w:r>
    </w:p>
    <w:p>
      <w:pPr>
        <w:ind w:firstLine="420" w:firstLineChars="200"/>
        <w:rPr>
          <w:rFonts w:hint="default" w:ascii="楷体" w:hAnsi="楷体" w:eastAsia="楷体"/>
          <w:sz w:val="21"/>
          <w:szCs w:val="21"/>
          <w:lang w:val="en-US" w:eastAsia="zh-CN"/>
        </w:rPr>
      </w:pPr>
      <w:r>
        <w:rPr>
          <w:rFonts w:hint="default" w:ascii="楷体" w:hAnsi="楷体" w:eastAsia="楷体"/>
          <w:sz w:val="21"/>
          <w:szCs w:val="21"/>
          <w:lang w:val="en-US" w:eastAsia="zh-CN"/>
        </w:rPr>
        <w:t>本理财产品计划通过债券、非标准化债权类资产的配置获取稳健收益，同时适时适量配置银行存款，包括同业存放、结构性存款等。其中，拟开展的结构性存款主要为信用挂钩型结构性存款，该产品本质是内嵌收益互换合约的存款，挂钩标的包括优质同业存单、高评级信用债等资产，相关挂钩主体均需严格通过我司风险评估，在严控信用风险的前提下实现产品收益增厚的目标。</w:t>
      </w:r>
    </w:p>
    <w:p>
      <w:pPr>
        <w:numPr>
          <w:ilvl w:val="0"/>
          <w:numId w:val="6"/>
        </w:numPr>
        <w:tabs>
          <w:tab w:val="left" w:pos="993"/>
        </w:tabs>
        <w:ind w:left="0" w:firstLine="420" w:firstLineChars="200"/>
        <w:outlineLvl w:val="2"/>
        <w:rPr>
          <w:rFonts w:hint="eastAsia" w:ascii="楷体" w:hAnsi="楷体" w:eastAsia="楷体" w:cs="Calibri"/>
          <w:b w:val="0"/>
          <w:bCs/>
          <w:sz w:val="21"/>
          <w:szCs w:val="21"/>
          <w:lang w:val="en-US" w:eastAsia="zh-CN"/>
        </w:rPr>
      </w:pPr>
      <w:r>
        <w:rPr>
          <w:rFonts w:hint="eastAsia" w:ascii="楷体" w:hAnsi="楷体" w:eastAsia="楷体" w:cs="Calibri"/>
          <w:b w:val="0"/>
          <w:bCs/>
          <w:sz w:val="21"/>
          <w:szCs w:val="21"/>
          <w:lang w:val="en-US" w:eastAsia="zh-CN"/>
        </w:rPr>
        <w:t>非标准化债权类资产</w:t>
      </w:r>
    </w:p>
    <w:p>
      <w:pPr>
        <w:numPr>
          <w:ilvl w:val="0"/>
          <w:numId w:val="0"/>
        </w:numPr>
        <w:tabs>
          <w:tab w:val="left" w:pos="993"/>
        </w:tabs>
        <w:ind w:leftChars="200"/>
        <w:outlineLvl w:val="2"/>
        <w:rPr>
          <w:rFonts w:hint="eastAsia" w:ascii="楷体" w:hAnsi="楷体" w:eastAsia="楷体" w:cs="Calibri"/>
          <w:b w:val="0"/>
          <w:bCs/>
          <w:sz w:val="21"/>
          <w:szCs w:val="21"/>
          <w:highlight w:val="yellow"/>
          <w:lang w:val="en-US" w:eastAsia="zh-CN"/>
        </w:rPr>
      </w:pPr>
      <w:r>
        <w:rPr>
          <w:rFonts w:hint="eastAsia" w:ascii="楷体" w:hAnsi="楷体" w:eastAsia="楷体"/>
          <w:b w:val="0"/>
          <w:bCs/>
          <w:color w:val="auto"/>
          <w:sz w:val="21"/>
          <w:szCs w:val="21"/>
          <w:highlight w:val="none"/>
          <w:u w:val="none"/>
        </w:rPr>
        <w:t>本产品计划配置以下</w:t>
      </w:r>
      <w:r>
        <w:rPr>
          <w:rFonts w:ascii="楷体" w:hAnsi="楷体" w:eastAsia="楷体"/>
          <w:b w:val="0"/>
          <w:bCs/>
          <w:color w:val="auto"/>
          <w:sz w:val="21"/>
          <w:szCs w:val="21"/>
          <w:highlight w:val="none"/>
          <w:u w:val="none"/>
        </w:rPr>
        <w:t>备选</w:t>
      </w:r>
      <w:r>
        <w:rPr>
          <w:rFonts w:hint="eastAsia" w:ascii="楷体" w:hAnsi="楷体" w:eastAsia="楷体"/>
          <w:b w:val="0"/>
          <w:bCs/>
          <w:color w:val="auto"/>
          <w:sz w:val="21"/>
          <w:szCs w:val="21"/>
          <w:highlight w:val="none"/>
          <w:u w:val="none"/>
        </w:rPr>
        <w:t>非标准化债权类资产：</w:t>
      </w:r>
    </w:p>
    <w:p>
      <w:pPr>
        <w:numPr>
          <w:ilvl w:val="0"/>
          <w:numId w:val="7"/>
        </w:numPr>
        <w:ind w:firstLine="420" w:firstLineChars="200"/>
        <w:rPr>
          <w:rFonts w:hint="eastAsia" w:ascii="楷体" w:hAnsi="楷体" w:eastAsia="楷体" w:cs="楷体"/>
          <w:color w:val="auto"/>
          <w:kern w:val="2"/>
          <w:sz w:val="21"/>
          <w:szCs w:val="21"/>
          <w:highlight w:val="none"/>
          <w:lang w:val="en-US" w:eastAsia="zh-CN" w:bidi="ar-SA"/>
        </w:rPr>
      </w:pPr>
      <w:r>
        <w:rPr>
          <w:rFonts w:hint="eastAsia" w:ascii="楷体" w:hAnsi="楷体" w:eastAsia="楷体" w:cs="楷体"/>
          <w:color w:val="auto"/>
          <w:kern w:val="2"/>
          <w:sz w:val="21"/>
          <w:szCs w:val="21"/>
          <w:highlight w:val="none"/>
          <w:lang w:val="en-US" w:eastAsia="zh-CN" w:bidi="ar-SA"/>
        </w:rPr>
        <w:t>信托贷款：资产类型为信托公司设立的信托计划，底层资产为个人贷款债权，该类资产由蚂蚁、微信、抖音、京东、度小满、网商银行等公司与信托公司双重审核、信托公司自主风控后发放，资产运行正常。（2）资产支持计划：资产类型为保险资产管理公司设立的资产支持计划，底层资产为个人贷款债权，该类资产由蚂蚁、微信、抖音、京东、度小满等公司与信托公司双重审核、信托公司自主风控后发放，资产运行正常。（3）</w:t>
      </w:r>
      <w:r>
        <w:rPr>
          <w:rFonts w:hint="eastAsia" w:ascii="楷体" w:hAnsi="楷体" w:eastAsia="楷体"/>
          <w:color w:val="auto"/>
          <w:sz w:val="21"/>
          <w:szCs w:val="21"/>
        </w:rPr>
        <w:t>非标准化债权类资产：融资人为台州市路桥区社会事业发展集团有限公司。融资人经营正常，是依法设立的国有公司，主要股东为台州市路桥公共资产投资管理集团有限公司，实际控制人为台州市路桥国有资产工作中心。</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非标准化债权类资产：融资人为杭州富阳城市建设投资集团有限公司。融资人经营正常，是依法设立的国有公司，主要股东为杭州市富阳区人民政府国有资产监督管理办公室，实际控制人为杭州市富阳区人民政府国有资产监督管理办公室。</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5）</w:t>
      </w:r>
      <w:r>
        <w:rPr>
          <w:rFonts w:hint="eastAsia" w:ascii="楷体" w:hAnsi="楷体" w:eastAsia="楷体"/>
          <w:color w:val="auto"/>
          <w:sz w:val="21"/>
          <w:szCs w:val="21"/>
        </w:rPr>
        <w:t>非标准化债权类资产：融资人为扬州新材料国资控股集团有限公司。融资人经营正常，是依法设立的国有公司，主要股东为扬州市兴仪投资控股集团有限公司、仪征市扬子文旅控股集团有限公司，实际控制人为扬州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非标准化债权类资产：融资人为淮安市城市发展投资控股集团有限公司。融资人经营正常，是依法设立的国有公司，主要股东为淮安市人民政府，实际控制人为淮安市人民政府。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7）</w:t>
      </w:r>
      <w:r>
        <w:rPr>
          <w:rFonts w:hint="eastAsia" w:ascii="楷体" w:hAnsi="楷体" w:eastAsia="楷体"/>
          <w:color w:val="auto"/>
          <w:sz w:val="21"/>
          <w:szCs w:val="21"/>
        </w:rPr>
        <w:t>非标准化债权类资产：融资人为盐城市水务集团有限公司。融资人经营正常，是依法设立的国有公司，主要股东为盐城市市政公用投资有限公司，实际控制人为盐城市人民政府。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8）</w:t>
      </w:r>
      <w:r>
        <w:rPr>
          <w:rFonts w:hint="eastAsia" w:ascii="楷体" w:hAnsi="楷体" w:eastAsia="楷体"/>
          <w:color w:val="auto"/>
          <w:sz w:val="21"/>
          <w:szCs w:val="21"/>
        </w:rPr>
        <w:t>非标准化债权类资产：融资人为江苏开晟产业发展集团有限公司。融资人经营正常，是依法设立的国有公司，主要股东为海安经济技术开发区管理委员会，实际控制人为海安经济技术开发区管理委员会。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9）</w:t>
      </w:r>
      <w:r>
        <w:rPr>
          <w:rFonts w:hint="eastAsia" w:ascii="楷体" w:hAnsi="楷体" w:eastAsia="楷体"/>
          <w:color w:val="auto"/>
          <w:sz w:val="21"/>
          <w:szCs w:val="21"/>
        </w:rPr>
        <w:t>非标准化债权类资产：融资人为富皋万泰集团有限公司。融资人经营正常，是依法设立的国有公司，主要股东为如皋市人民政府，实际控制人为如皋市人民政府。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10）</w:t>
      </w:r>
      <w:r>
        <w:rPr>
          <w:rFonts w:hint="eastAsia" w:ascii="楷体" w:hAnsi="楷体" w:eastAsia="楷体"/>
          <w:color w:val="auto"/>
          <w:sz w:val="21"/>
          <w:szCs w:val="21"/>
        </w:rPr>
        <w:t>非标准化债权类资产：融资人为南通国有资产投资控股有限公司。融资人经营正常，是依法设立的国有公司，主要股东为南通城市建设集团有限公司，实际控制人为南通市人民政府国有资产监督管理委员会。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11）</w:t>
      </w:r>
      <w:r>
        <w:rPr>
          <w:rFonts w:hint="eastAsia" w:ascii="楷体" w:hAnsi="楷体" w:eastAsia="楷体"/>
          <w:color w:val="auto"/>
          <w:sz w:val="21"/>
          <w:szCs w:val="21"/>
        </w:rPr>
        <w:t>非标准化债权类资产：融资人为徐州高新控股集团有限公司。融资人经营正常，是依法设立的国有公司，主要股东为徐州市人民政府国有资产监督管理委员会，实际控制人为徐州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12）</w:t>
      </w:r>
      <w:r>
        <w:rPr>
          <w:rFonts w:hint="eastAsia" w:ascii="楷体" w:hAnsi="楷体" w:eastAsia="楷体"/>
          <w:color w:val="auto"/>
          <w:sz w:val="21"/>
          <w:szCs w:val="21"/>
        </w:rPr>
        <w:t>非标准化债权类资产：融资人为湖州经开投资发展集团有限公司。融资人经营正常，是依法设立的国有公司，主要股东为湖州南太湖国有控股集团有限公司，实际控制人为湖州市人民政府国有资产监督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13）</w:t>
      </w:r>
      <w:r>
        <w:rPr>
          <w:rFonts w:hint="eastAsia" w:ascii="楷体" w:hAnsi="楷体" w:eastAsia="楷体"/>
          <w:color w:val="auto"/>
          <w:sz w:val="21"/>
          <w:szCs w:val="21"/>
        </w:rPr>
        <w:t>非标准化债权类资产：融资人为慈溪市国有资产投资控股有限公司。融资人经营正常，是依法设立的国有公司，主要股东为慈溪市国有资本投资运营集团有限公司、慈溪市国有资产管理中心、浙江省财开集团有限公司，实际控制人为慈溪市国有资产管理中心。</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14）</w:t>
      </w:r>
      <w:r>
        <w:rPr>
          <w:rFonts w:hint="eastAsia" w:ascii="楷体" w:hAnsi="楷体" w:eastAsia="楷体"/>
          <w:color w:val="auto"/>
          <w:sz w:val="21"/>
          <w:szCs w:val="21"/>
        </w:rPr>
        <w:t>非标准化债权类资产：融资人为无锡锡东新城城市发展集团有限公司。融资人经营正常，是依法设立的国有公司，主要股东为无锡市锡东新城商务区开发建设管理中心，实际控制人为无锡锡东新城商务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15）</w:t>
      </w:r>
      <w:r>
        <w:rPr>
          <w:rFonts w:hint="eastAsia" w:ascii="楷体" w:hAnsi="楷体" w:eastAsia="楷体"/>
          <w:color w:val="auto"/>
          <w:sz w:val="21"/>
          <w:szCs w:val="21"/>
        </w:rPr>
        <w:t>非标准化债权类资产：融资人为扬州市邗江国有资产经营有限公司。融资人经营正常，是依法设立的国有公司，主要股东为扬州市邗江城市建设发展有限公司，扬州市正本溯源建设发展有限公司，实际控制人为扬州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16）</w:t>
      </w:r>
      <w:r>
        <w:rPr>
          <w:rFonts w:hint="eastAsia" w:ascii="楷体" w:hAnsi="楷体" w:eastAsia="楷体"/>
          <w:color w:val="auto"/>
          <w:sz w:val="21"/>
          <w:szCs w:val="21"/>
        </w:rPr>
        <w:t>非标准化债权类资产：融资人为无锡市梁溪产业发展集团有限公司。融资人经营正常，是依法设立的国有公司，主要股东为无锡市梁溪区人民政府国有资产监督管理办公室、无锡市梁溪城市运营服务集团有限公司，实际控制人为无锡市梁溪区人民政府国有资产监督管理办公室。</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17）</w:t>
      </w:r>
      <w:r>
        <w:rPr>
          <w:rFonts w:hint="eastAsia" w:ascii="楷体" w:hAnsi="楷体" w:eastAsia="楷体"/>
          <w:color w:val="auto"/>
          <w:sz w:val="21"/>
          <w:szCs w:val="21"/>
        </w:rPr>
        <w:t>非标准化债权类资产：融资人为湖州吴兴城市投资发展集团有限公司。融资人经营正常，是依法设立的国有公司，主要股东为湖州吴兴国控投资运营发展集团有限公司，实际控制人为湖州市吴兴区财政局。</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18）</w:t>
      </w:r>
      <w:r>
        <w:rPr>
          <w:rFonts w:hint="eastAsia" w:ascii="楷体" w:hAnsi="楷体" w:eastAsia="楷体"/>
          <w:color w:val="auto"/>
          <w:sz w:val="21"/>
          <w:szCs w:val="21"/>
        </w:rPr>
        <w:t>非标准化债权类资产：融资人为宁波前湾控股集团有限公司。融资人经营正常，是依法设立的国有公司，主要股东为宁波前湾新区管理委员会(中意宁波生态园管理委员会、宁波杭州湾经济技术开发区管理委员会、宁波前湾综合保税区管理委员会)，实际控制人为宁波前湾新区管理委员会(中意宁波生态园管理委员会、宁波杭州湾经济技术开发区管理委员会、宁波前湾综合保税区管理委员会)。</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19）</w:t>
      </w:r>
      <w:r>
        <w:rPr>
          <w:rFonts w:hint="eastAsia" w:ascii="楷体" w:hAnsi="楷体" w:eastAsia="楷体"/>
          <w:color w:val="auto"/>
          <w:sz w:val="21"/>
          <w:szCs w:val="21"/>
        </w:rPr>
        <w:t>非标准化债权类资产：融资人为江苏钟吾城乡投资发展集团有限公司。融资人经营正常，是依法设立的国有公司，主要股东为徐州市人民政府，实际控制人为徐州市人民政府。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20）</w:t>
      </w:r>
      <w:r>
        <w:rPr>
          <w:rFonts w:hint="eastAsia" w:ascii="楷体" w:hAnsi="楷体" w:eastAsia="楷体"/>
          <w:color w:val="auto"/>
          <w:sz w:val="21"/>
          <w:szCs w:val="21"/>
        </w:rPr>
        <w:t>非标准化债权类资产：融资人为台州市黄岩国有资本投资运营集团有限公司。融资人经营正常，是依法设立的国有公司，主要股东为台州市黄岩区财政局，实际控制人为台州市黄岩区财政局。</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21）</w:t>
      </w:r>
      <w:r>
        <w:rPr>
          <w:rFonts w:hint="eastAsia" w:ascii="楷体" w:hAnsi="楷体" w:eastAsia="楷体"/>
          <w:color w:val="auto"/>
          <w:sz w:val="21"/>
          <w:szCs w:val="21"/>
        </w:rPr>
        <w:t>非标准化债权类资产：融资人为江苏淮阴城市产业投资集团有限公司。融资人经营正常，是依法设立的国有公司，主要股东为淮安国控投资集团有限公司，实际控制人为淮安市人民政府。</w:t>
      </w:r>
      <w:r>
        <w:rPr>
          <w:rFonts w:hint="eastAsia" w:ascii="楷体" w:hAnsi="楷体" w:eastAsia="楷体"/>
          <w:color w:val="auto"/>
          <w:sz w:val="21"/>
          <w:szCs w:val="21"/>
          <w:lang w:eastAsia="zh-CN"/>
        </w:rPr>
        <w:t>（</w:t>
      </w:r>
      <w:r>
        <w:rPr>
          <w:rFonts w:hint="eastAsia" w:ascii="楷体" w:hAnsi="楷体" w:eastAsia="楷体"/>
          <w:color w:val="auto"/>
          <w:sz w:val="21"/>
          <w:szCs w:val="21"/>
          <w:lang w:val="en-US" w:eastAsia="zh-CN"/>
        </w:rPr>
        <w:t>22）</w:t>
      </w:r>
      <w:r>
        <w:rPr>
          <w:rFonts w:hint="eastAsia" w:ascii="楷体" w:hAnsi="楷体" w:eastAsia="楷体"/>
          <w:color w:val="auto"/>
          <w:sz w:val="21"/>
          <w:szCs w:val="21"/>
        </w:rPr>
        <w:t>非标准化债权类资产：融资人为无锡惠山高科集团有限公司。融资人经营正常，是依法设立的国有公司，主要股东为无锡惠山高科产业控股有限公司，实际控制人为无锡惠山经济开发区国有资产管理办公室。</w:t>
      </w:r>
    </w:p>
    <w:p>
      <w:pPr>
        <w:numPr>
          <w:ilvl w:val="-1"/>
          <w:numId w:val="0"/>
        </w:numPr>
        <w:ind w:firstLine="558" w:firstLineChars="266"/>
        <w:rPr>
          <w:rFonts w:hint="eastAsia" w:ascii="楷体" w:hAnsi="楷体" w:eastAsia="楷体"/>
          <w:sz w:val="21"/>
          <w:szCs w:val="21"/>
        </w:rPr>
      </w:pPr>
      <w:r>
        <w:rPr>
          <w:rFonts w:hint="eastAsia" w:ascii="楷体" w:hAnsi="楷体" w:eastAsia="楷体"/>
          <w:sz w:val="21"/>
          <w:szCs w:val="21"/>
          <w:lang w:eastAsia="zh-CN"/>
        </w:rPr>
        <w:t>（</w:t>
      </w:r>
      <w:r>
        <w:rPr>
          <w:rFonts w:hint="eastAsia" w:ascii="楷体" w:hAnsi="楷体" w:eastAsia="楷体"/>
          <w:sz w:val="21"/>
          <w:szCs w:val="21"/>
          <w:lang w:val="en-US" w:eastAsia="zh-CN"/>
        </w:rPr>
        <w:t>1）-（2）各</w:t>
      </w:r>
      <w:r>
        <w:rPr>
          <w:rFonts w:hint="eastAsia" w:ascii="楷体" w:hAnsi="楷体" w:eastAsia="楷体" w:cs="楷体"/>
          <w:kern w:val="2"/>
          <w:sz w:val="21"/>
          <w:szCs w:val="21"/>
          <w:highlight w:val="none"/>
          <w:lang w:val="en-US" w:eastAsia="zh-CN" w:bidi="ar-SA"/>
        </w:rPr>
        <w:t>资产到期日不超过理财产品投资周期终止日，循环期不还本、摊还期过手摊还本息；</w:t>
      </w:r>
      <w:r>
        <w:rPr>
          <w:rFonts w:hint="eastAsia" w:ascii="楷体" w:hAnsi="楷体" w:eastAsia="楷体"/>
          <w:sz w:val="21"/>
          <w:szCs w:val="21"/>
          <w:lang w:eastAsia="zh-CN"/>
        </w:rPr>
        <w:t>（</w:t>
      </w:r>
      <w:r>
        <w:rPr>
          <w:rFonts w:hint="eastAsia" w:ascii="楷体" w:hAnsi="楷体" w:eastAsia="楷体"/>
          <w:sz w:val="21"/>
          <w:szCs w:val="21"/>
          <w:lang w:val="en-US" w:eastAsia="zh-CN"/>
        </w:rPr>
        <w:t>3）-（22）各</w:t>
      </w:r>
      <w:r>
        <w:rPr>
          <w:rFonts w:hint="eastAsia" w:ascii="楷体" w:hAnsi="楷体" w:eastAsia="楷体"/>
          <w:sz w:val="21"/>
          <w:szCs w:val="21"/>
          <w:lang w:eastAsia="zh-CN"/>
        </w:rPr>
        <w:t>资产到期日不超过理财产品投资周期终止日，定期付息、到期一次性还本。</w:t>
      </w:r>
    </w:p>
    <w:p>
      <w:pPr>
        <w:numPr>
          <w:ilvl w:val="0"/>
          <w:numId w:val="0"/>
        </w:numPr>
        <w:ind w:firstLine="420" w:firstLineChars="200"/>
        <w:rPr>
          <w:rFonts w:hint="default"/>
          <w:lang w:val="en-US" w:eastAsia="zh-CN"/>
        </w:rPr>
      </w:pPr>
      <w:r>
        <w:rPr>
          <w:rFonts w:hint="eastAsia" w:ascii="楷体" w:hAnsi="楷体" w:eastAsia="楷体"/>
          <w:sz w:val="21"/>
          <w:szCs w:val="21"/>
        </w:rPr>
        <w:t>产品存续期内若本理财产品投资的</w:t>
      </w:r>
      <w:r>
        <w:rPr>
          <w:rFonts w:hint="eastAsia" w:ascii="楷体" w:hAnsi="楷体" w:eastAsia="楷体" w:cs="楷体"/>
          <w:kern w:val="2"/>
          <w:sz w:val="21"/>
          <w:szCs w:val="21"/>
          <w:highlight w:val="none"/>
          <w:lang w:val="en-US" w:eastAsia="zh-CN" w:bidi="ar-SA"/>
        </w:rPr>
        <w:t>个人贷款债权</w:t>
      </w:r>
      <w:r>
        <w:rPr>
          <w:rFonts w:hint="eastAsia" w:ascii="楷体" w:hAnsi="楷体" w:eastAsia="楷体"/>
          <w:sz w:val="21"/>
          <w:szCs w:val="21"/>
          <w:highlight w:val="none"/>
        </w:rPr>
        <w:t>资产</w:t>
      </w:r>
      <w:r>
        <w:rPr>
          <w:rFonts w:hint="eastAsia" w:ascii="楷体" w:hAnsi="楷体" w:eastAsia="楷体"/>
          <w:sz w:val="21"/>
          <w:szCs w:val="21"/>
        </w:rPr>
        <w:t>有所调整，管理人将选择优质企业作为融资人，且融资项目已履行管理人内部审批流程，融资人业务经营正常，融资项目还款来源明确，并在本理财产品的定期报告中披露。</w:t>
      </w:r>
    </w:p>
    <w:p>
      <w:pPr>
        <w:numPr>
          <w:ilvl w:val="0"/>
          <w:numId w:val="6"/>
        </w:numPr>
        <w:tabs>
          <w:tab w:val="left" w:pos="993"/>
        </w:tabs>
        <w:ind w:left="0" w:firstLine="420" w:firstLineChars="200"/>
        <w:outlineLvl w:val="2"/>
        <w:rPr>
          <w:rFonts w:hint="eastAsia" w:ascii="楷体" w:hAnsi="楷体" w:eastAsia="楷体" w:cs="Calibri"/>
          <w:b w:val="0"/>
          <w:bCs/>
          <w:sz w:val="21"/>
          <w:szCs w:val="21"/>
          <w:lang w:val="en-US" w:eastAsia="zh-CN"/>
        </w:rPr>
      </w:pPr>
      <w:r>
        <w:rPr>
          <w:rFonts w:hint="eastAsia" w:ascii="楷体" w:hAnsi="楷体" w:eastAsia="楷体" w:cs="Calibri"/>
          <w:b w:val="0"/>
          <w:bCs/>
          <w:sz w:val="21"/>
          <w:szCs w:val="21"/>
          <w:lang w:val="en-US" w:eastAsia="zh-CN"/>
        </w:rPr>
        <w:t>投资合作机构</w:t>
      </w:r>
    </w:p>
    <w:p>
      <w:pPr>
        <w:numPr>
          <w:ilvl w:val="0"/>
          <w:numId w:val="0"/>
        </w:numPr>
        <w:ind w:firstLine="420" w:firstLineChars="200"/>
        <w:rPr>
          <w:rFonts w:hint="eastAsia" w:ascii="楷体" w:hAnsi="楷体" w:eastAsia="楷体"/>
          <w:sz w:val="21"/>
          <w:szCs w:val="21"/>
        </w:rPr>
      </w:pPr>
      <w:r>
        <w:rPr>
          <w:rFonts w:hint="eastAsia" w:ascii="楷体" w:hAnsi="楷体" w:eastAsia="楷体"/>
          <w:color w:val="auto"/>
          <w:sz w:val="21"/>
          <w:szCs w:val="21"/>
        </w:rPr>
        <w:t>投资合作机构主要职责是对理财产品受托资金进行投资管理，</w:t>
      </w:r>
      <w:r>
        <w:rPr>
          <w:rFonts w:hint="eastAsia" w:ascii="楷体" w:hAnsi="楷体" w:eastAsia="楷体"/>
          <w:color w:val="auto"/>
          <w:sz w:val="21"/>
          <w:szCs w:val="21"/>
          <w:lang w:val="en-US" w:eastAsia="zh-CN"/>
        </w:rPr>
        <w:t>管理人</w:t>
      </w:r>
      <w:r>
        <w:rPr>
          <w:rFonts w:hint="eastAsia" w:ascii="楷体" w:hAnsi="楷体" w:eastAsia="楷体"/>
          <w:color w:val="auto"/>
          <w:sz w:val="21"/>
          <w:szCs w:val="21"/>
        </w:rPr>
        <w:t>已按投资决策流程对投资合作机构进行了准入，并持续开展投资合作机构的存续期管理。本产品投资合作机构包括</w:t>
      </w:r>
      <w:r>
        <w:rPr>
          <w:rFonts w:hint="eastAsia" w:ascii="楷体" w:hAnsi="楷体" w:eastAsia="楷体"/>
          <w:sz w:val="21"/>
          <w:szCs w:val="21"/>
        </w:rPr>
        <w:t>：</w:t>
      </w:r>
    </w:p>
    <w:p>
      <w:pPr>
        <w:ind w:firstLine="420" w:firstLineChars="200"/>
        <w:rPr>
          <w:rFonts w:hint="eastAsia" w:ascii="楷体" w:hAnsi="楷体" w:eastAsia="楷体"/>
          <w:b w:val="0"/>
          <w:bCs w:val="0"/>
          <w:sz w:val="21"/>
          <w:szCs w:val="21"/>
          <w:lang w:val="en-US" w:eastAsia="zh-CN"/>
        </w:rPr>
      </w:pP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1 \* GB3 \* MERGEFORMAT </w:instrText>
      </w:r>
      <w:r>
        <w:rPr>
          <w:rFonts w:hint="default" w:ascii="Calibri" w:hAnsi="Calibri" w:eastAsia="楷体" w:cs="Calibri"/>
          <w:b w:val="0"/>
          <w:bCs w:val="0"/>
          <w:sz w:val="21"/>
          <w:szCs w:val="21"/>
        </w:rPr>
        <w:fldChar w:fldCharType="separate"/>
      </w:r>
      <w:r>
        <w:t>①</w:t>
      </w:r>
      <w:r>
        <w:rPr>
          <w:rFonts w:hint="default" w:ascii="Calibri" w:hAnsi="Calibri" w:eastAsia="楷体" w:cs="Calibri"/>
          <w:b w:val="0"/>
          <w:bCs w:val="0"/>
          <w:sz w:val="21"/>
          <w:szCs w:val="21"/>
        </w:rPr>
        <w:fldChar w:fldCharType="end"/>
      </w:r>
      <w:r>
        <w:rPr>
          <w:rFonts w:hint="default" w:ascii="Calibri" w:hAnsi="Calibri" w:eastAsia="楷体" w:cs="Calibri"/>
          <w:b w:val="0"/>
          <w:bCs w:val="0"/>
          <w:sz w:val="21"/>
          <w:szCs w:val="21"/>
        </w:rPr>
        <w:t>苏豪</w:t>
      </w:r>
      <w:r>
        <w:rPr>
          <w:rFonts w:hint="eastAsia" w:ascii="楷体" w:hAnsi="楷体" w:eastAsia="楷体"/>
          <w:b w:val="0"/>
          <w:bCs w:val="0"/>
          <w:sz w:val="21"/>
          <w:szCs w:val="21"/>
        </w:rPr>
        <w:t>弘业期货股份有限公司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苏豪弘业期货股份有限公司（简称弘业期货）成立于1995年，注册资本1,007,777,778元人民币，隶属于江苏省国资委全资拥有的国有企业江苏省苏豪控股集团有限公司。公司经营范围涵盖商品期货经纪、金融期货经纪、期货投资咨询、资产管理、基金销售业务。在北、上、广等国内主要金融中心和重点城市设立35家分支机构，数量位居全国前列，并在行业内率先建立国家级博士后工作站。</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2 \* GB3 \* MERGEFORMAT </w:instrText>
      </w:r>
      <w:r>
        <w:rPr>
          <w:rFonts w:hint="default" w:ascii="Calibri" w:hAnsi="Calibri" w:eastAsia="楷体" w:cs="Calibri"/>
          <w:b w:val="0"/>
          <w:bCs w:val="0"/>
          <w:sz w:val="21"/>
          <w:szCs w:val="21"/>
        </w:rPr>
        <w:fldChar w:fldCharType="separate"/>
      </w:r>
      <w:r>
        <w:t>②</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江苏省国际信托有限责任公司</w:t>
      </w:r>
      <w:r>
        <w:rPr>
          <w:rFonts w:hint="eastAsia" w:ascii="楷体" w:hAnsi="楷体" w:eastAsia="楷体"/>
          <w:b w:val="0"/>
          <w:bCs w:val="0"/>
          <w:sz w:val="21"/>
          <w:szCs w:val="21"/>
          <w:lang w:eastAsia="zh-CN"/>
        </w:rPr>
        <w:t>：</w:t>
      </w:r>
      <w:r>
        <w:rPr>
          <w:rFonts w:hint="eastAsia" w:ascii="楷体" w:hAnsi="楷体" w:eastAsia="楷体"/>
          <w:b w:val="0"/>
          <w:bCs w:val="0"/>
          <w:sz w:val="21"/>
          <w:szCs w:val="21"/>
        </w:rPr>
        <w:t>江苏省国际信托有限责任公司是经江苏省人民政府和中国银行业监督管理委员会批准设立的非银行金融机构，是江苏省国信集团的主要成员企业之一，专业从事金融信托业务。</w:t>
      </w:r>
      <w:r>
        <w:rPr>
          <w:rFonts w:hint="default" w:ascii="Calibri" w:hAnsi="Calibri" w:eastAsia="楷体" w:cs="Calibri"/>
          <w:b w:val="0"/>
          <w:bCs w:val="0"/>
          <w:sz w:val="21"/>
          <w:szCs w:val="21"/>
        </w:rPr>
        <w:fldChar w:fldCharType="begin"/>
      </w:r>
      <w:r>
        <w:rPr>
          <w:rFonts w:hint="default" w:ascii="Calibri" w:hAnsi="Calibri" w:eastAsia="楷体" w:cs="Calibri"/>
          <w:b w:val="0"/>
          <w:bCs w:val="0"/>
          <w:sz w:val="21"/>
          <w:szCs w:val="21"/>
        </w:rPr>
        <w:instrText xml:space="preserve"> = 3 \* GB3 \* MERGEFORMAT </w:instrText>
      </w:r>
      <w:r>
        <w:rPr>
          <w:rFonts w:hint="default" w:ascii="Calibri" w:hAnsi="Calibri" w:eastAsia="楷体" w:cs="Calibri"/>
          <w:b w:val="0"/>
          <w:bCs w:val="0"/>
          <w:sz w:val="21"/>
          <w:szCs w:val="21"/>
        </w:rPr>
        <w:fldChar w:fldCharType="separate"/>
      </w:r>
      <w:r>
        <w:t>③</w:t>
      </w:r>
      <w:r>
        <w:rPr>
          <w:rFonts w:hint="default" w:ascii="Calibri" w:hAnsi="Calibri" w:eastAsia="楷体" w:cs="Calibri"/>
          <w:b w:val="0"/>
          <w:bCs w:val="0"/>
          <w:sz w:val="21"/>
          <w:szCs w:val="21"/>
        </w:rPr>
        <w:fldChar w:fldCharType="end"/>
      </w:r>
      <w:r>
        <w:rPr>
          <w:rFonts w:hint="eastAsia" w:ascii="楷体" w:hAnsi="楷体" w:eastAsia="楷体"/>
          <w:b w:val="0"/>
          <w:bCs w:val="0"/>
          <w:sz w:val="21"/>
          <w:szCs w:val="21"/>
        </w:rPr>
        <w:t>创金合信基金管理有限公司</w:t>
      </w:r>
      <w:r>
        <w:rPr>
          <w:rFonts w:hint="eastAsia" w:ascii="楷体" w:hAnsi="楷体" w:eastAsia="楷体"/>
          <w:b w:val="0"/>
          <w:bCs w:val="0"/>
          <w:sz w:val="21"/>
          <w:szCs w:val="21"/>
          <w:lang w:eastAsia="zh-CN"/>
        </w:rPr>
        <w:t>：</w:t>
      </w:r>
      <w:r>
        <w:rPr>
          <w:rFonts w:ascii="楷体" w:hAnsi="楷体" w:eastAsia="楷体"/>
          <w:b w:val="0"/>
          <w:bCs w:val="0"/>
          <w:sz w:val="21"/>
          <w:szCs w:val="21"/>
        </w:rPr>
        <w:t>创金合信基金管理有限公司成立于2014年7月9日，由第一创业证券股份有限公司、深圳市金合信投资合伙企业（有限合伙）共同发起设立，注册地为深圳。</w:t>
      </w:r>
      <w:r>
        <w:rPr>
          <w:rFonts w:ascii="楷体" w:hAnsi="楷体" w:eastAsia="楷体"/>
          <w:b w:val="0"/>
          <w:bCs w:val="0"/>
          <w:sz w:val="21"/>
          <w:szCs w:val="21"/>
        </w:rPr>
        <w:fldChar w:fldCharType="begin"/>
      </w:r>
      <w:r>
        <w:rPr>
          <w:rFonts w:ascii="楷体" w:hAnsi="楷体" w:eastAsia="楷体"/>
          <w:b w:val="0"/>
          <w:bCs w:val="0"/>
          <w:sz w:val="21"/>
          <w:szCs w:val="21"/>
        </w:rPr>
        <w:instrText xml:space="preserve"> = 4 \* GB3 \* MERGEFORMAT </w:instrText>
      </w:r>
      <w:r>
        <w:rPr>
          <w:rFonts w:ascii="楷体" w:hAnsi="楷体" w:eastAsia="楷体"/>
          <w:b w:val="0"/>
          <w:bCs w:val="0"/>
          <w:sz w:val="21"/>
          <w:szCs w:val="21"/>
        </w:rPr>
        <w:fldChar w:fldCharType="separate"/>
      </w:r>
      <w:r>
        <w:t>④</w:t>
      </w:r>
      <w:r>
        <w:rPr>
          <w:rFonts w:ascii="楷体" w:hAnsi="楷体" w:eastAsia="楷体"/>
          <w:b w:val="0"/>
          <w:bCs w:val="0"/>
          <w:sz w:val="21"/>
          <w:szCs w:val="21"/>
        </w:rPr>
        <w:fldChar w:fldCharType="end"/>
      </w:r>
      <w:r>
        <w:rPr>
          <w:rFonts w:hint="eastAsia" w:ascii="楷体" w:hAnsi="楷体" w:eastAsia="楷体"/>
          <w:b w:val="0"/>
          <w:bCs w:val="0"/>
          <w:sz w:val="21"/>
          <w:szCs w:val="21"/>
          <w:lang w:val="en-US" w:eastAsia="zh-CN"/>
        </w:rPr>
        <w:t>华鑫国际信托有限公司：华鑫国际信托有限公司于2010年2月获得中国银行业监督管理委员会批准重新登记，并于同年3月正式挂牌开业，实际控制人为中国华电集团有限公司，注册资本73.95亿元。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5 \* GB3 \* MERGEFORMAT </w:instrText>
      </w:r>
      <w:r>
        <w:rPr>
          <w:rFonts w:hint="eastAsia" w:ascii="楷体" w:hAnsi="楷体" w:eastAsia="楷体"/>
          <w:b w:val="0"/>
          <w:bCs w:val="0"/>
          <w:sz w:val="21"/>
          <w:szCs w:val="21"/>
          <w:lang w:val="en-US" w:eastAsia="zh-CN"/>
        </w:rPr>
        <w:fldChar w:fldCharType="separate"/>
      </w:r>
      <w:r>
        <w:t>⑤</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中国国际金融股份有限公司：中国国际金融股份有限公司于1995年7月31日成立，实际控制人为中央汇金投资有限责任公司，注册资本4,827,256,868元。</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6 \* GB3 \* MERGEFORMAT </w:instrText>
      </w:r>
      <w:r>
        <w:rPr>
          <w:rFonts w:hint="eastAsia" w:ascii="楷体" w:hAnsi="楷体" w:eastAsia="楷体"/>
          <w:b w:val="0"/>
          <w:bCs w:val="0"/>
          <w:sz w:val="21"/>
          <w:szCs w:val="21"/>
          <w:lang w:val="en-US" w:eastAsia="zh-CN"/>
        </w:rPr>
        <w:fldChar w:fldCharType="separate"/>
      </w:r>
      <w:r>
        <w:t>⑥</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粮信托有限责任公司：中粮信托有限责任公司成立于2009年7月27日，是中国银行保险监督管理委员会核准的国有控股金融机构，注册资本28.3095亿元，前三大股东分别为中粮资本投资有限公司、蒙特利尔银行、中粮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7 \* GB3 \* MERGEFORMAT </w:instrText>
      </w:r>
      <w:r>
        <w:rPr>
          <w:rFonts w:hint="eastAsia" w:ascii="楷体" w:hAnsi="楷体" w:eastAsia="楷体"/>
          <w:b w:val="0"/>
          <w:bCs w:val="0"/>
          <w:sz w:val="21"/>
          <w:szCs w:val="21"/>
          <w:lang w:val="en-US" w:eastAsia="zh-CN"/>
        </w:rPr>
        <w:fldChar w:fldCharType="separate"/>
      </w:r>
      <w:r>
        <w:t>⑦</w:t>
      </w:r>
      <w:r>
        <w:rPr>
          <w:rFonts w:hint="eastAsia" w:ascii="楷体" w:hAnsi="楷体" w:eastAsia="楷体"/>
          <w:b w:val="0"/>
          <w:bCs w:val="0"/>
          <w:sz w:val="21"/>
          <w:szCs w:val="21"/>
          <w:lang w:val="en-US" w:eastAsia="zh-CN"/>
        </w:rPr>
        <w:fldChar w:fldCharType="end"/>
      </w:r>
      <w:r>
        <w:rPr>
          <w:rFonts w:hint="eastAsia" w:ascii="楷体" w:hAnsi="楷体" w:eastAsia="楷体"/>
          <w:b w:val="0"/>
          <w:bCs w:val="0"/>
          <w:sz w:val="21"/>
          <w:szCs w:val="21"/>
          <w:lang w:val="en-US" w:eastAsia="zh-CN"/>
        </w:rPr>
        <w:t>中国对外经济贸易信托有限公司：中国对外经济贸易信托有限公司成立于1987年9月30日，是中国银行保险监督管理委员会核准的国有控股金融机构，注册资本80亿元，股东为中化资本有限公司和中化集团财务有限责任公司。</w:t>
      </w:r>
      <w:r>
        <w:rPr>
          <w:rFonts w:hint="eastAsia" w:ascii="楷体" w:hAnsi="楷体" w:eastAsia="楷体"/>
          <w:b w:val="0"/>
          <w:bCs w:val="0"/>
          <w:sz w:val="21"/>
          <w:szCs w:val="21"/>
          <w:lang w:val="en-US" w:eastAsia="zh-CN"/>
        </w:rPr>
        <w:fldChar w:fldCharType="begin"/>
      </w:r>
      <w:r>
        <w:rPr>
          <w:rFonts w:hint="eastAsia" w:ascii="楷体" w:hAnsi="楷体" w:eastAsia="楷体"/>
          <w:b w:val="0"/>
          <w:bCs w:val="0"/>
          <w:sz w:val="21"/>
          <w:szCs w:val="21"/>
          <w:lang w:val="en-US" w:eastAsia="zh-CN"/>
        </w:rPr>
        <w:instrText xml:space="preserve"> = 8 \* GB3 \* MERGEFORMAT </w:instrText>
      </w:r>
      <w:r>
        <w:rPr>
          <w:rFonts w:hint="eastAsia" w:ascii="楷体" w:hAnsi="楷体" w:eastAsia="楷体"/>
          <w:b w:val="0"/>
          <w:bCs w:val="0"/>
          <w:sz w:val="21"/>
          <w:szCs w:val="21"/>
          <w:lang w:val="en-US" w:eastAsia="zh-CN"/>
        </w:rPr>
        <w:fldChar w:fldCharType="separate"/>
      </w:r>
      <w:r>
        <w:t>⑧</w:t>
      </w:r>
      <w:r>
        <w:rPr>
          <w:rFonts w:hint="eastAsia" w:ascii="楷体" w:hAnsi="楷体" w:eastAsia="楷体"/>
          <w:b w:val="0"/>
          <w:bCs w:val="0"/>
          <w:sz w:val="21"/>
          <w:szCs w:val="21"/>
          <w:lang w:val="en-US" w:eastAsia="zh-CN"/>
        </w:rPr>
        <w:fldChar w:fldCharType="end"/>
      </w:r>
      <w:r>
        <w:rPr>
          <w:rFonts w:hint="default" w:ascii="楷体" w:hAnsi="楷体" w:eastAsia="楷体"/>
          <w:b w:val="0"/>
          <w:bCs w:val="0"/>
          <w:sz w:val="21"/>
          <w:szCs w:val="21"/>
          <w:lang w:val="en-US" w:eastAsia="zh-CN"/>
        </w:rPr>
        <w:t>南方资本管理有限公司</w:t>
      </w:r>
      <w:r>
        <w:rPr>
          <w:rFonts w:hint="eastAsia" w:ascii="楷体" w:hAnsi="楷体" w:eastAsia="楷体"/>
          <w:b w:val="0"/>
          <w:bCs w:val="0"/>
          <w:sz w:val="21"/>
          <w:szCs w:val="21"/>
          <w:lang w:val="en-US" w:eastAsia="zh-CN"/>
        </w:rPr>
        <w:t>：</w:t>
      </w:r>
      <w:r>
        <w:rPr>
          <w:rFonts w:hint="default" w:ascii="楷体" w:hAnsi="楷体" w:eastAsia="楷体"/>
          <w:b w:val="0"/>
          <w:bCs w:val="0"/>
          <w:sz w:val="21"/>
          <w:szCs w:val="21"/>
          <w:lang w:val="en-US" w:eastAsia="zh-CN"/>
        </w:rPr>
        <w:t>南方资本管理有限公司成立于2013年11月14日，注册资本5.42亿元人民币，注册地为深圳前海。经中国证监会核准，南方资本业务范围为特定客户资产管理业务以及中国证监会许可的其他业务。公司股东为南方基金管理股份有限公司（100%）。</w:t>
      </w:r>
    </w:p>
    <w:p>
      <w:pPr>
        <w:ind w:firstLine="420" w:firstLineChars="200"/>
        <w:rPr>
          <w:rFonts w:hint="default"/>
          <w:lang w:val="en-US" w:eastAsia="zh-CN"/>
        </w:rPr>
      </w:pPr>
      <w:r>
        <w:rPr>
          <w:rFonts w:hint="eastAsia" w:ascii="楷体" w:hAnsi="楷体" w:eastAsia="楷体"/>
          <w:sz w:val="21"/>
          <w:szCs w:val="21"/>
        </w:rPr>
        <w:t>产品存续期内合作机构如有</w:t>
      </w:r>
      <w:r>
        <w:rPr>
          <w:rFonts w:hint="eastAsia" w:ascii="楷体" w:hAnsi="楷体" w:eastAsia="楷体"/>
          <w:sz w:val="21"/>
          <w:szCs w:val="21"/>
          <w:highlight w:val="none"/>
        </w:rPr>
        <w:t>变化，管理人将按照监管规定和内部管理制度要求对合作机构进行准入，签署相关协议后，披露新增的投资合作机构。</w:t>
      </w:r>
    </w:p>
    <w:p>
      <w:pPr>
        <w:numPr>
          <w:ilvl w:val="0"/>
          <w:numId w:val="6"/>
        </w:numPr>
        <w:tabs>
          <w:tab w:val="left" w:pos="993"/>
        </w:tabs>
        <w:ind w:left="0" w:firstLine="420" w:firstLineChars="200"/>
        <w:outlineLvl w:val="2"/>
        <w:rPr>
          <w:rFonts w:ascii="楷体" w:hAnsi="楷体" w:eastAsia="楷体" w:cs="Calibri"/>
          <w:b w:val="0"/>
          <w:bCs/>
          <w:sz w:val="21"/>
          <w:szCs w:val="21"/>
        </w:rPr>
      </w:pPr>
      <w:r>
        <w:rPr>
          <w:rFonts w:hint="eastAsia" w:ascii="楷体" w:hAnsi="楷体" w:eastAsia="楷体" w:cs="Calibri"/>
          <w:b w:val="0"/>
          <w:bCs/>
          <w:sz w:val="21"/>
          <w:szCs w:val="21"/>
        </w:rPr>
        <w:t>投资限制</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rPr>
      </w:pPr>
      <w:r>
        <w:rPr>
          <w:rFonts w:hint="eastAsia" w:ascii="楷体" w:hAnsi="楷体" w:eastAsia="楷体"/>
          <w:color w:val="auto"/>
          <w:sz w:val="21"/>
          <w:szCs w:val="21"/>
        </w:rPr>
        <w:t>本理财产品投资于单只证券或单只公募证券投资基金的市值不超过本产品净资产的10%。</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highlight w:val="none"/>
        </w:rPr>
      </w:pPr>
      <w:r>
        <w:rPr>
          <w:rFonts w:hint="eastAsia" w:ascii="楷体" w:hAnsi="楷体" w:eastAsia="楷体"/>
          <w:color w:val="auto"/>
          <w:sz w:val="21"/>
          <w:szCs w:val="21"/>
        </w:rPr>
        <w:t>管理人发行的全部公募理财产品投资单只证券或者单只公募证券投资基金的市值不得超过该证券市值或者公募证券投资基金市值</w:t>
      </w:r>
      <w:r>
        <w:rPr>
          <w:rFonts w:hint="eastAsia" w:ascii="楷体" w:hAnsi="楷体" w:eastAsia="楷体"/>
          <w:color w:val="auto"/>
          <w:sz w:val="21"/>
          <w:szCs w:val="21"/>
          <w:highlight w:val="none"/>
        </w:rPr>
        <w:t>的30%。其中，管理人全部开放式公募理财产品投资单一上市公司发行的股票不得超过该上市公司可流通股票的15%。</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rPr>
      </w:pPr>
      <w:r>
        <w:rPr>
          <w:rFonts w:hint="eastAsia" w:ascii="楷体" w:hAnsi="楷体" w:eastAsia="楷体"/>
          <w:color w:val="auto"/>
          <w:sz w:val="21"/>
          <w:szCs w:val="21"/>
        </w:rPr>
        <w:t>管理人全部产品持有单一上市公司发行的股票，不得超过该上市公司可流通股票的30%。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ascii="楷体" w:hAnsi="楷体" w:eastAsia="楷体"/>
          <w:color w:val="auto"/>
          <w:sz w:val="21"/>
          <w:szCs w:val="21"/>
        </w:rPr>
        <w:t>针对上述第1、2</w:t>
      </w:r>
      <w:r>
        <w:rPr>
          <w:rFonts w:hint="eastAsia" w:ascii="楷体" w:hAnsi="楷体" w:eastAsia="楷体"/>
          <w:color w:val="auto"/>
          <w:sz w:val="21"/>
          <w:szCs w:val="21"/>
          <w:lang w:eastAsia="zh-CN"/>
        </w:rPr>
        <w:t>、</w:t>
      </w:r>
      <w:r>
        <w:rPr>
          <w:rFonts w:hint="eastAsia" w:ascii="楷体" w:hAnsi="楷体" w:eastAsia="楷体"/>
          <w:color w:val="auto"/>
          <w:sz w:val="21"/>
          <w:szCs w:val="21"/>
        </w:rPr>
        <w:t>3项，非因管理人主观因素致使不符合前述比例限制的，管理人将在流动性受限资产可出售、可转让或者恢复交易的10个交易日内调整至符合相关要求。</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rPr>
      </w:pPr>
      <w:r>
        <w:rPr>
          <w:rFonts w:hint="eastAsia" w:ascii="楷体" w:hAnsi="楷体" w:eastAsia="楷体"/>
          <w:color w:val="auto"/>
          <w:sz w:val="21"/>
          <w:szCs w:val="21"/>
        </w:rPr>
        <w:t>本理财产品</w:t>
      </w:r>
      <w:r>
        <w:rPr>
          <w:rFonts w:hint="eastAsia" w:ascii="楷体" w:hAnsi="楷体" w:eastAsia="楷体"/>
          <w:color w:val="auto"/>
          <w:sz w:val="21"/>
          <w:szCs w:val="21"/>
          <w:lang w:val="en-US" w:eastAsia="zh-CN"/>
        </w:rPr>
        <w:t>杠杆率</w:t>
      </w:r>
      <w:r>
        <w:rPr>
          <w:rFonts w:hint="eastAsia" w:ascii="楷体" w:hAnsi="楷体" w:eastAsia="楷体"/>
          <w:color w:val="auto"/>
          <w:sz w:val="21"/>
          <w:szCs w:val="21"/>
        </w:rPr>
        <w:t>不</w:t>
      </w:r>
      <w:r>
        <w:rPr>
          <w:rFonts w:hint="eastAsia" w:ascii="楷体" w:hAnsi="楷体" w:eastAsia="楷体"/>
          <w:color w:val="auto"/>
          <w:sz w:val="21"/>
          <w:szCs w:val="21"/>
          <w:highlight w:val="none"/>
        </w:rPr>
        <w:t>超过140%。</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本理财产品在开放日及开放日前7 个工作日内持有不低于产品资产净值5%的现金或者到期日在一年以内的国债、中央银行票据和政策性金融债券。</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200"/>
        <w:textAlignment w:val="auto"/>
        <w:rPr>
          <w:rFonts w:hint="eastAsia" w:ascii="楷体" w:hAnsi="楷体" w:eastAsia="楷体"/>
          <w:color w:val="auto"/>
          <w:sz w:val="21"/>
          <w:szCs w:val="21"/>
          <w:highlight w:val="none"/>
        </w:rPr>
      </w:pPr>
      <w:r>
        <w:rPr>
          <w:rFonts w:hint="eastAsia" w:ascii="楷体" w:hAnsi="楷体" w:eastAsia="楷体"/>
          <w:color w:val="auto"/>
          <w:sz w:val="21"/>
          <w:szCs w:val="21"/>
          <w:highlight w:val="none"/>
        </w:rPr>
        <w:t>本理财产品直接投资于流动性受限资产的市值在开放日不得超过本产品净资产的15%。因证券市场波动、理财产品规模变动等因素导致不符合前述比例限制的，本理财产品不得主动新增投资流动性受限资产。</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20" w:firstLineChars="200"/>
        <w:textAlignment w:val="auto"/>
        <w:rPr>
          <w:rFonts w:hint="eastAsia"/>
        </w:rPr>
      </w:pPr>
      <w:r>
        <w:rPr>
          <w:rFonts w:hint="eastAsia" w:ascii="楷体" w:hAnsi="楷体" w:eastAsia="楷体"/>
          <w:color w:val="auto"/>
          <w:sz w:val="21"/>
          <w:szCs w:val="21"/>
          <w:highlight w:val="none"/>
        </w:rPr>
        <w:t>在开放日前一工作日内，本理财产品7个工作日可变现资产的可变现价值应当不低于本产品净资产的10%。</w:t>
      </w:r>
    </w:p>
    <w:p>
      <w:pPr>
        <w:numPr>
          <w:ilvl w:val="0"/>
          <w:numId w:val="6"/>
        </w:numPr>
        <w:tabs>
          <w:tab w:val="left" w:pos="993"/>
        </w:tabs>
        <w:ind w:left="0" w:firstLine="420" w:firstLineChars="200"/>
        <w:outlineLvl w:val="2"/>
        <w:rPr>
          <w:rFonts w:ascii="楷体" w:hAnsi="楷体" w:eastAsia="楷体" w:cs="Calibri"/>
          <w:b w:val="0"/>
          <w:bCs/>
          <w:sz w:val="21"/>
          <w:szCs w:val="21"/>
        </w:rPr>
      </w:pPr>
      <w:r>
        <w:rPr>
          <w:rFonts w:hint="eastAsia" w:ascii="楷体" w:hAnsi="楷体" w:eastAsia="楷体" w:cs="Calibri"/>
          <w:b w:val="0"/>
          <w:bCs/>
          <w:sz w:val="21"/>
          <w:szCs w:val="21"/>
        </w:rPr>
        <w:t>投资</w:t>
      </w:r>
      <w:r>
        <w:rPr>
          <w:rFonts w:hint="eastAsia" w:ascii="楷体" w:hAnsi="楷体" w:eastAsia="楷体" w:cs="Calibri"/>
          <w:b w:val="0"/>
          <w:bCs/>
          <w:sz w:val="21"/>
          <w:szCs w:val="21"/>
          <w:lang w:val="en-US" w:eastAsia="zh-CN"/>
        </w:rPr>
        <w:t>管理</w:t>
      </w:r>
      <w:r>
        <w:rPr>
          <w:rFonts w:hint="eastAsia" w:ascii="楷体" w:hAnsi="楷体" w:eastAsia="楷体" w:cs="Calibri"/>
          <w:b w:val="0"/>
          <w:bCs/>
          <w:sz w:val="21"/>
          <w:szCs w:val="21"/>
        </w:rPr>
        <w:t>调整</w:t>
      </w:r>
    </w:p>
    <w:p>
      <w:pPr>
        <w:pStyle w:val="2"/>
        <w:keepNext w:val="0"/>
        <w:keepLines w:val="0"/>
        <w:pageBreakBefore w:val="0"/>
        <w:widowControl w:val="0"/>
        <w:kinsoku/>
        <w:wordWrap/>
        <w:overflowPunct/>
        <w:topLinePunct w:val="0"/>
        <w:autoSpaceDE w:val="0"/>
        <w:autoSpaceDN w:val="0"/>
        <w:bidi w:val="0"/>
        <w:adjustRightInd w:val="0"/>
        <w:snapToGrid/>
        <w:spacing w:before="0"/>
        <w:ind w:left="0" w:firstLine="420" w:firstLineChars="200"/>
        <w:jc w:val="both"/>
        <w:textAlignment w:val="auto"/>
        <w:rPr>
          <w:rFonts w:hint="eastAsia" w:ascii="楷体" w:hAnsi="楷体" w:eastAsia="楷体" w:cs="Times New Roman"/>
          <w:color w:val="auto"/>
          <w:kern w:val="2"/>
          <w:sz w:val="21"/>
          <w:szCs w:val="21"/>
          <w:lang w:val="en-US" w:eastAsia="zh-CN" w:bidi="ar-SA"/>
        </w:rPr>
      </w:pPr>
      <w:r>
        <w:rPr>
          <w:rFonts w:hint="eastAsia" w:ascii="楷体" w:hAnsi="楷体" w:eastAsia="楷体" w:cs="Times New Roman"/>
          <w:color w:val="auto"/>
          <w:kern w:val="2"/>
          <w:sz w:val="21"/>
          <w:szCs w:val="21"/>
          <w:lang w:val="en-US" w:eastAsia="zh-CN" w:bidi="ar-SA"/>
        </w:rPr>
        <w:t>若法律法规、国家监管政策或市场情况发生变化，管理人在不改变产品类型的情况下，可对本说明书中已约定的投资范围、投资品种、投资比例等事项进行调整，产品管理人将于调整事项生效前2个工作日通过短信、苏银理财有限责任公司官方网站（www.suyinwealth.com）、销售机构电子渠道和营业网点等方式进行信息披露。此种情况下产品管理人可能开放赎回，具体以届时产品管理人公告为准。若本理财产品的投资者不接受上述调整，可及时通过销售机构赎回本产品（高风险类型的理财产品超出比例范围投资较低风险资产的情况除外）；若本理财产品投资者未在约定的时间内赎回本产品，则视为本理财产品投资者接受相关调整且同意继续持有本理财产品。</w:t>
      </w:r>
    </w:p>
    <w:p>
      <w:pPr>
        <w:ind w:firstLine="420" w:firstLineChars="200"/>
        <w:rPr>
          <w:rFonts w:hint="eastAsia" w:ascii="楷体" w:hAnsi="楷体" w:eastAsia="楷体"/>
          <w:sz w:val="21"/>
          <w:szCs w:val="21"/>
          <w:highlight w:val="none"/>
          <w:lang w:val="en-US" w:eastAsia="zh-CN"/>
        </w:rPr>
      </w:pPr>
      <w:r>
        <w:rPr>
          <w:rFonts w:hint="eastAsia" w:ascii="楷体" w:hAnsi="楷体" w:eastAsia="楷体" w:cs="楷体"/>
          <w:color w:val="auto"/>
          <w:sz w:val="21"/>
          <w:szCs w:val="21"/>
        </w:rPr>
        <w:t>如监管有最新规定的，可参照监管规定</w:t>
      </w:r>
      <w:r>
        <w:rPr>
          <w:rFonts w:hint="eastAsia" w:ascii="楷体" w:hAnsi="楷体" w:eastAsia="楷体" w:cs="楷体"/>
          <w:color w:val="auto"/>
          <w:sz w:val="21"/>
          <w:szCs w:val="21"/>
          <w:lang w:val="en-US" w:eastAsia="zh-CN"/>
        </w:rPr>
        <w:t>执行</w:t>
      </w:r>
      <w:r>
        <w:rPr>
          <w:rFonts w:hint="eastAsia" w:ascii="楷体" w:hAnsi="楷体" w:eastAsia="楷体"/>
          <w:sz w:val="21"/>
          <w:szCs w:val="21"/>
          <w:highlight w:val="none"/>
          <w:lang w:val="en-US" w:eastAsia="zh-CN"/>
        </w:rPr>
        <w:t>。</w:t>
      </w:r>
    </w:p>
    <w:p>
      <w:pPr>
        <w:keepNext w:val="0"/>
        <w:keepLines w:val="0"/>
        <w:pageBreakBefore w:val="0"/>
        <w:widowControl w:val="0"/>
        <w:numPr>
          <w:ilvl w:val="0"/>
          <w:numId w:val="2"/>
        </w:numPr>
        <w:tabs>
          <w:tab w:val="left" w:pos="1134"/>
          <w:tab w:val="clear" w:pos="0"/>
        </w:tabs>
        <w:kinsoku/>
        <w:wordWrap/>
        <w:overflowPunct/>
        <w:topLinePunct w:val="0"/>
        <w:autoSpaceDE/>
        <w:autoSpaceDN/>
        <w:bidi w:val="0"/>
        <w:adjustRightInd/>
        <w:snapToGrid/>
        <w:ind w:left="0" w:leftChars="0" w:firstLine="422" w:firstLineChars="200"/>
        <w:textAlignment w:val="auto"/>
        <w:outlineLvl w:val="1"/>
        <w:rPr>
          <w:rFonts w:ascii="楷体" w:hAnsi="楷体" w:eastAsia="楷体"/>
          <w:b/>
          <w:sz w:val="21"/>
          <w:szCs w:val="21"/>
        </w:rPr>
      </w:pPr>
      <w:r>
        <w:rPr>
          <w:rFonts w:hint="eastAsia" w:ascii="楷体" w:hAnsi="楷体" w:eastAsia="楷体"/>
          <w:b/>
          <w:sz w:val="21"/>
          <w:szCs w:val="21"/>
        </w:rPr>
        <w:t>产品认购</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认购方式</w:t>
      </w:r>
      <w:r>
        <w:rPr>
          <w:rFonts w:hint="eastAsia" w:ascii="楷体" w:hAnsi="楷体" w:eastAsia="楷体" w:cs="Calibri"/>
          <w:color w:val="auto"/>
          <w:sz w:val="21"/>
          <w:szCs w:val="21"/>
          <w:lang w:val="en-US" w:eastAsia="zh-CN"/>
        </w:rPr>
        <w:t>及确认</w:t>
      </w:r>
    </w:p>
    <w:p>
      <w:pPr>
        <w:numPr>
          <w:ilvl w:val="-1"/>
          <w:numId w:val="0"/>
        </w:numPr>
        <w:ind w:left="0" w:firstLine="420" w:firstLineChars="200"/>
        <w:rPr>
          <w:rFonts w:hint="eastAsia" w:ascii="楷体" w:hAnsi="楷体" w:eastAsia="楷体" w:cs="Calibri"/>
          <w:color w:val="auto"/>
          <w:sz w:val="21"/>
          <w:szCs w:val="21"/>
          <w:highlight w:val="none"/>
        </w:rPr>
      </w:pPr>
      <w:r>
        <w:rPr>
          <w:rFonts w:hint="eastAsia" w:ascii="楷体" w:hAnsi="楷体" w:eastAsia="楷体" w:cs="Calibri"/>
          <w:color w:val="auto"/>
          <w:sz w:val="21"/>
          <w:szCs w:val="21"/>
        </w:rPr>
        <w:t>本理财产品可在各销售机构指定渠道进行认购</w:t>
      </w:r>
      <w:r>
        <w:rPr>
          <w:rFonts w:hint="eastAsia" w:ascii="楷体" w:hAnsi="楷体" w:eastAsia="楷体" w:cs="Calibri"/>
          <w:sz w:val="21"/>
          <w:szCs w:val="21"/>
          <w:highlight w:val="none"/>
          <w:lang w:val="en-US" w:eastAsia="zh-CN"/>
        </w:rPr>
        <w:t>，投资者按规定提交认购申请，管理人在份额登记日对投资者的认购申请成功登记后并收到投资者全额交付的款项，视为投资者的认购申请生效。投资者应在理财产品成立后及时查询最终的成交情况。</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和销售机构的事由出现，造成认购申请未被确认的，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numPr>
          <w:ilvl w:val="0"/>
          <w:numId w:val="9"/>
        </w:numPr>
        <w:tabs>
          <w:tab w:val="left" w:pos="993"/>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认购份额的计算</w:t>
      </w:r>
    </w:p>
    <w:p>
      <w:pPr>
        <w:numPr>
          <w:ilvl w:val="-1"/>
          <w:numId w:val="0"/>
        </w:numPr>
        <w:ind w:left="0" w:firstLine="420" w:firstLineChars="200"/>
        <w:rPr>
          <w:rFonts w:hint="eastAsia" w:ascii="楷体" w:hAnsi="楷体" w:eastAsia="楷体" w:cs="Calibri"/>
          <w:color w:val="auto"/>
          <w:sz w:val="21"/>
          <w:szCs w:val="21"/>
          <w:lang w:val="en-US" w:eastAsia="zh-CN"/>
        </w:rPr>
      </w:pPr>
      <w:r>
        <w:rPr>
          <w:rFonts w:hint="eastAsia" w:ascii="楷体" w:hAnsi="楷体" w:eastAsia="楷体" w:cs="Calibri"/>
          <w:color w:val="auto"/>
          <w:sz w:val="21"/>
          <w:szCs w:val="21"/>
          <w:lang w:val="en-US" w:eastAsia="zh-CN"/>
        </w:rPr>
        <w:t>认购份额=认购金额/产品份额面值，认购份额以四舍五入的方法保留到小数点后两位。</w:t>
      </w:r>
    </w:p>
    <w:p>
      <w:pPr>
        <w:keepNext w:val="0"/>
        <w:keepLines w:val="0"/>
        <w:pageBreakBefore w:val="0"/>
        <w:widowControl w:val="0"/>
        <w:numPr>
          <w:ilvl w:val="0"/>
          <w:numId w:val="2"/>
        </w:numPr>
        <w:tabs>
          <w:tab w:val="left" w:pos="1134"/>
          <w:tab w:val="clear" w:pos="0"/>
        </w:tabs>
        <w:kinsoku/>
        <w:wordWrap/>
        <w:overflowPunct/>
        <w:topLinePunct w:val="0"/>
        <w:autoSpaceDE/>
        <w:autoSpaceDN/>
        <w:bidi w:val="0"/>
        <w:adjustRightInd/>
        <w:snapToGrid/>
        <w:ind w:left="0" w:leftChars="0" w:firstLine="422" w:firstLineChars="200"/>
        <w:textAlignment w:val="auto"/>
        <w:outlineLvl w:val="1"/>
        <w:rPr>
          <w:rFonts w:hint="eastAsia"/>
          <w:sz w:val="21"/>
          <w:szCs w:val="21"/>
        </w:rPr>
      </w:pPr>
      <w:r>
        <w:rPr>
          <w:rFonts w:hint="eastAsia" w:ascii="楷体" w:hAnsi="楷体" w:eastAsia="楷体"/>
          <w:b/>
          <w:sz w:val="21"/>
          <w:szCs w:val="21"/>
          <w:highlight w:val="none"/>
        </w:rPr>
        <w:t>产品申购、赎回</w:t>
      </w:r>
    </w:p>
    <w:p>
      <w:pPr>
        <w:numPr>
          <w:ilvl w:val="0"/>
          <w:numId w:val="10"/>
        </w:numPr>
        <w:tabs>
          <w:tab w:val="left" w:pos="993"/>
        </w:tabs>
        <w:ind w:left="0" w:firstLine="420" w:firstLineChars="200"/>
        <w:outlineLvl w:val="2"/>
        <w:rPr>
          <w:rFonts w:hint="eastAsia" w:ascii="楷体" w:hAnsi="楷体" w:eastAsia="楷体" w:cs="Calibri"/>
          <w:b w:val="0"/>
          <w:bCs/>
          <w:sz w:val="21"/>
          <w:szCs w:val="21"/>
        </w:rPr>
      </w:pPr>
      <w:r>
        <w:rPr>
          <w:rFonts w:hint="eastAsia" w:ascii="楷体" w:hAnsi="楷体" w:eastAsia="楷体" w:cs="Calibri"/>
          <w:b w:val="0"/>
          <w:bCs/>
          <w:sz w:val="21"/>
          <w:szCs w:val="21"/>
        </w:rPr>
        <w:t>投资周期、开放计划</w:t>
      </w:r>
    </w:p>
    <w:p>
      <w:pPr>
        <w:ind w:firstLine="420" w:firstLineChars="200"/>
        <w:rPr>
          <w:rFonts w:hint="eastAsia" w:ascii="楷体" w:hAnsi="楷体" w:eastAsia="楷体"/>
          <w:sz w:val="21"/>
          <w:szCs w:val="21"/>
        </w:rPr>
      </w:pPr>
      <w:r>
        <w:rPr>
          <w:rFonts w:hint="eastAsia" w:ascii="楷体" w:hAnsi="楷体" w:eastAsia="楷体"/>
          <w:sz w:val="21"/>
          <w:szCs w:val="21"/>
        </w:rPr>
        <w:t>本产品在每个投资周期结束前设置开放计划，时间为投资周期终止日前</w:t>
      </w:r>
      <w:r>
        <w:rPr>
          <w:rFonts w:hint="eastAsia" w:ascii="楷体" w:hAnsi="楷体" w:eastAsia="楷体"/>
          <w:sz w:val="21"/>
          <w:szCs w:val="21"/>
          <w:highlight w:val="none"/>
          <w:lang w:val="en-US" w:eastAsia="zh-CN"/>
        </w:rPr>
        <w:t>7</w:t>
      </w:r>
      <w:r>
        <w:rPr>
          <w:rFonts w:hint="eastAsia" w:ascii="楷体" w:hAnsi="楷体" w:eastAsia="楷体"/>
          <w:sz w:val="21"/>
          <w:szCs w:val="21"/>
          <w:lang w:val="en-US" w:eastAsia="zh-CN"/>
        </w:rPr>
        <w:t>个工作</w:t>
      </w:r>
      <w:r>
        <w:rPr>
          <w:rFonts w:hint="eastAsia" w:ascii="楷体" w:hAnsi="楷体" w:eastAsia="楷体"/>
          <w:sz w:val="21"/>
          <w:szCs w:val="21"/>
        </w:rPr>
        <w:t>日（含投资周期终止日），开放计划最后一日（即投资周期终止日）为开放日。投资者可在开放计划时间内通过销售机构提出申购/赎回申请（以各销售机构设置的开放时间为准），</w:t>
      </w:r>
      <w:r>
        <w:rPr>
          <w:rFonts w:hint="eastAsia" w:ascii="楷体" w:hAnsi="楷体" w:eastAsia="楷体"/>
          <w:b/>
          <w:sz w:val="21"/>
          <w:szCs w:val="21"/>
          <w:u w:val="single"/>
        </w:rPr>
        <w:t>除开放计划外的其他时间，管理人不接受投资者申购、赎回申请。</w:t>
      </w:r>
      <w:r>
        <w:rPr>
          <w:rFonts w:hint="eastAsia" w:ascii="楷体" w:hAnsi="楷体" w:eastAsia="楷体" w:cs="Calibri"/>
          <w:sz w:val="21"/>
          <w:szCs w:val="21"/>
        </w:rPr>
        <w:t>后续投资周期及开放计划受资产运作情况、节假日安排等要素限制，管理人将在每个投资周期结束前通过本理财产品说明书约定的方式披露下一周期开放计划。</w:t>
      </w:r>
    </w:p>
    <w:p>
      <w:pPr>
        <w:numPr>
          <w:ilvl w:val="0"/>
          <w:numId w:val="10"/>
        </w:numPr>
        <w:tabs>
          <w:tab w:val="left" w:pos="993"/>
        </w:tabs>
        <w:ind w:left="0" w:firstLine="420" w:firstLineChars="200"/>
        <w:outlineLvl w:val="2"/>
        <w:rPr>
          <w:rFonts w:hint="eastAsia" w:ascii="楷体" w:hAnsi="楷体" w:eastAsia="楷体" w:cs="Calibri"/>
          <w:b w:val="0"/>
          <w:bCs/>
          <w:sz w:val="21"/>
          <w:szCs w:val="21"/>
        </w:rPr>
      </w:pPr>
      <w:r>
        <w:rPr>
          <w:rFonts w:hint="eastAsia" w:ascii="楷体" w:hAnsi="楷体" w:eastAsia="楷体" w:cs="Calibri"/>
          <w:b w:val="0"/>
          <w:bCs/>
          <w:sz w:val="21"/>
          <w:szCs w:val="21"/>
        </w:rPr>
        <w:t>申购、赎回的规则</w:t>
      </w:r>
    </w:p>
    <w:p>
      <w:pPr>
        <w:numPr>
          <w:ilvl w:val="0"/>
          <w:numId w:val="11"/>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申购、赎回的原则：投资者必须在产品开放计划内提出申购、赎回申请</w:t>
      </w:r>
      <w:r>
        <w:rPr>
          <w:rFonts w:hint="eastAsia" w:ascii="楷体" w:hAnsi="楷体" w:eastAsia="楷体" w:cs="Calibri"/>
          <w:sz w:val="21"/>
          <w:szCs w:val="21"/>
          <w:lang w:eastAsia="zh-CN"/>
        </w:rPr>
        <w:t>，</w:t>
      </w:r>
      <w:r>
        <w:rPr>
          <w:rFonts w:hint="eastAsia" w:ascii="楷体" w:hAnsi="楷体" w:eastAsia="楷体" w:cs="Calibri"/>
          <w:sz w:val="21"/>
          <w:szCs w:val="21"/>
        </w:rPr>
        <w:t>采用金额申购、份额赎回的原则，即申购以金额申请，赎回以份额申请。投资者提出申购申请时，须备足购买资金</w:t>
      </w:r>
      <w:r>
        <w:rPr>
          <w:rFonts w:hint="eastAsia" w:ascii="楷体" w:hAnsi="楷体" w:eastAsia="楷体" w:cs="Calibri"/>
          <w:sz w:val="21"/>
          <w:szCs w:val="21"/>
          <w:lang w:val="en-US" w:eastAsia="zh-CN"/>
        </w:rPr>
        <w:t>；</w:t>
      </w:r>
      <w:r>
        <w:rPr>
          <w:rFonts w:hint="eastAsia" w:ascii="楷体" w:hAnsi="楷体" w:eastAsia="楷体" w:cs="Calibri"/>
          <w:sz w:val="21"/>
          <w:szCs w:val="21"/>
        </w:rPr>
        <w:t>投资者提出赎回申请时，须有足够的理财产品份额余额。在开放计划内提交的申购/赎回申请可以在产品开放日</w:t>
      </w:r>
      <w:r>
        <w:rPr>
          <w:rFonts w:hint="eastAsia" w:ascii="楷体" w:hAnsi="楷体" w:eastAsia="楷体" w:cs="Calibri"/>
          <w:sz w:val="21"/>
          <w:szCs w:val="21"/>
          <w:lang w:val="en-US" w:eastAsia="zh-CN"/>
        </w:rPr>
        <w:t>闭市</w:t>
      </w:r>
      <w:r>
        <w:rPr>
          <w:rFonts w:hint="eastAsia" w:ascii="楷体" w:hAnsi="楷体" w:eastAsia="楷体" w:cs="Calibri"/>
          <w:sz w:val="21"/>
          <w:szCs w:val="21"/>
        </w:rPr>
        <w:t>前撤销，之后不得撤销。</w:t>
      </w:r>
      <w:r>
        <w:rPr>
          <w:rFonts w:hint="eastAsia" w:ascii="楷体" w:hAnsi="楷体" w:eastAsia="楷体"/>
          <w:sz w:val="21"/>
          <w:szCs w:val="21"/>
        </w:rPr>
        <w:t>（</w:t>
      </w:r>
      <w:r>
        <w:rPr>
          <w:rFonts w:hint="eastAsia" w:ascii="楷体" w:hAnsi="楷体" w:eastAsia="楷体" w:cs="Calibri"/>
          <w:sz w:val="21"/>
          <w:szCs w:val="21"/>
          <w:lang w:val="en-US" w:eastAsia="zh-CN"/>
        </w:rPr>
        <w:t>闭市时间</w:t>
      </w:r>
      <w:r>
        <w:rPr>
          <w:rFonts w:hint="eastAsia" w:ascii="楷体" w:hAnsi="楷体" w:eastAsia="楷体"/>
          <w:sz w:val="21"/>
          <w:szCs w:val="21"/>
        </w:rPr>
        <w:t>以各销售机构设置为准）</w:t>
      </w:r>
    </w:p>
    <w:p>
      <w:pPr>
        <w:numPr>
          <w:ilvl w:val="0"/>
          <w:numId w:val="11"/>
        </w:numPr>
        <w:tabs>
          <w:tab w:val="left" w:pos="728"/>
        </w:tabs>
        <w:ind w:left="0" w:firstLine="420" w:firstLineChars="200"/>
        <w:rPr>
          <w:rFonts w:hint="eastAsia" w:ascii="楷体" w:hAnsi="楷体" w:eastAsia="楷体" w:cs="Calibri"/>
          <w:sz w:val="21"/>
          <w:szCs w:val="21"/>
        </w:rPr>
      </w:pPr>
      <w:r>
        <w:rPr>
          <w:rFonts w:hint="eastAsia" w:ascii="楷体" w:hAnsi="楷体" w:eastAsia="楷体" w:cs="Calibri"/>
          <w:sz w:val="21"/>
          <w:szCs w:val="21"/>
        </w:rPr>
        <w:t>申购、赎回的确认：投资者申购/赎回本产品时采用“未知价”原则，投资者在开放计划时间内通过销售机构提出的申购/赎回申请，管理人于开放日后1个工作日按开放日单位净值对申购/赎回申请予以统一确认，未赎回的份额自动进入下一个投资周期。</w:t>
      </w:r>
    </w:p>
    <w:p>
      <w:pPr>
        <w:ind w:firstLine="420" w:firstLineChars="200"/>
        <w:rPr>
          <w:rFonts w:hint="eastAsia" w:ascii="楷体" w:hAnsi="楷体" w:eastAsia="楷体"/>
          <w:sz w:val="21"/>
          <w:szCs w:val="21"/>
          <w:highlight w:val="none"/>
        </w:rPr>
      </w:pPr>
      <w:r>
        <w:rPr>
          <w:rFonts w:hint="eastAsia" w:ascii="楷体" w:hAnsi="楷体" w:eastAsia="楷体" w:cs="Calibri"/>
          <w:sz w:val="21"/>
          <w:szCs w:val="21"/>
          <w:highlight w:val="none"/>
          <w:lang w:val="en-US" w:eastAsia="zh-CN"/>
        </w:rPr>
        <w:t>管理人在份额登记日对投资者的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申请登记成功后并收到投资者全额交付的款项，视为投资者的</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申请生效。投资者应在</w:t>
      </w:r>
      <w:r>
        <w:rPr>
          <w:rFonts w:hint="eastAsia" w:ascii="楷体" w:hAnsi="楷体" w:eastAsia="楷体"/>
          <w:sz w:val="21"/>
          <w:szCs w:val="21"/>
          <w:highlight w:val="none"/>
        </w:rPr>
        <w:t>开放日后</w:t>
      </w:r>
      <w:r>
        <w:rPr>
          <w:rFonts w:hint="eastAsia" w:ascii="楷体" w:hAnsi="楷体" w:eastAsia="楷体" w:cs="Calibri"/>
          <w:sz w:val="21"/>
          <w:szCs w:val="21"/>
          <w:highlight w:val="none"/>
          <w:lang w:val="en-US" w:eastAsia="zh-CN"/>
        </w:rPr>
        <w:t>及时查询最终的成交情况以及</w:t>
      </w:r>
      <w:r>
        <w:rPr>
          <w:rFonts w:hint="eastAsia" w:ascii="楷体" w:hAnsi="楷体" w:eastAsia="楷体"/>
          <w:sz w:val="21"/>
          <w:szCs w:val="21"/>
          <w:highlight w:val="none"/>
        </w:rPr>
        <w:t>申购</w:t>
      </w:r>
      <w:r>
        <w:rPr>
          <w:rFonts w:hint="eastAsia" w:ascii="楷体" w:hAnsi="楷体" w:eastAsia="楷体" w:cs="Calibri"/>
          <w:sz w:val="21"/>
          <w:szCs w:val="21"/>
          <w:highlight w:val="none"/>
          <w:lang w:val="en-US" w:eastAsia="zh-CN"/>
        </w:rPr>
        <w:t>的份额。</w:t>
      </w:r>
      <w:r>
        <w:rPr>
          <w:rFonts w:hint="eastAsia" w:ascii="楷体" w:hAnsi="楷体" w:eastAsia="楷体"/>
          <w:sz w:val="21"/>
          <w:szCs w:val="21"/>
          <w:highlight w:val="none"/>
        </w:rPr>
        <w:t>因投资者资金账户余额不足、司法冻结、不可抗力因素或其他不可归责于</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和销售机构的事由出现，造成申购</w:t>
      </w:r>
      <w:r>
        <w:rPr>
          <w:rFonts w:hint="eastAsia" w:ascii="楷体" w:hAnsi="楷体" w:eastAsia="楷体" w:cs="Calibri"/>
          <w:sz w:val="21"/>
          <w:szCs w:val="21"/>
          <w:highlight w:val="none"/>
          <w:lang w:val="en-US" w:eastAsia="zh-CN"/>
        </w:rPr>
        <w:t>申请</w:t>
      </w:r>
      <w:r>
        <w:rPr>
          <w:rFonts w:hint="eastAsia" w:ascii="楷体" w:hAnsi="楷体" w:eastAsia="楷体"/>
          <w:sz w:val="21"/>
          <w:szCs w:val="21"/>
          <w:highlight w:val="none"/>
        </w:rPr>
        <w:t>未被确认的，</w:t>
      </w:r>
      <w:r>
        <w:rPr>
          <w:rFonts w:hint="eastAsia" w:ascii="楷体" w:hAnsi="楷体" w:eastAsia="楷体"/>
          <w:sz w:val="21"/>
          <w:szCs w:val="21"/>
          <w:highlight w:val="none"/>
          <w:lang w:val="en-US" w:eastAsia="zh-CN"/>
        </w:rPr>
        <w:t>管理人</w:t>
      </w:r>
      <w:r>
        <w:rPr>
          <w:rFonts w:hint="eastAsia" w:ascii="楷体" w:hAnsi="楷体" w:eastAsia="楷体"/>
          <w:sz w:val="21"/>
          <w:szCs w:val="21"/>
          <w:highlight w:val="none"/>
        </w:rPr>
        <w:t>和销售机构不承担任何责任。</w:t>
      </w:r>
    </w:p>
    <w:p>
      <w:pPr>
        <w:ind w:firstLine="420" w:firstLineChars="200"/>
        <w:rPr>
          <w:rFonts w:hint="eastAsia" w:ascii="楷体" w:hAnsi="楷体" w:eastAsia="楷体"/>
          <w:sz w:val="21"/>
          <w:szCs w:val="21"/>
          <w:highlight w:val="none"/>
        </w:rPr>
      </w:pPr>
      <w:r>
        <w:rPr>
          <w:rFonts w:hint="eastAsia" w:ascii="楷体" w:hAnsi="楷体" w:eastAsia="楷体"/>
          <w:sz w:val="21"/>
          <w:szCs w:val="21"/>
          <w:highlight w:val="none"/>
        </w:rPr>
        <w:t>投资者赎回资金将在确认日后2个工作日内到达投资者资金账户。</w:t>
      </w:r>
    </w:p>
    <w:p>
      <w:pPr>
        <w:numPr>
          <w:ilvl w:val="0"/>
          <w:numId w:val="10"/>
        </w:numPr>
        <w:tabs>
          <w:tab w:val="left" w:pos="993"/>
        </w:tabs>
        <w:ind w:left="0" w:firstLine="420" w:firstLineChars="200"/>
        <w:outlineLvl w:val="2"/>
        <w:rPr>
          <w:rFonts w:hint="eastAsia" w:ascii="楷体" w:hAnsi="楷体" w:eastAsia="楷体" w:cs="Calibri"/>
          <w:b w:val="0"/>
          <w:bCs/>
          <w:sz w:val="21"/>
          <w:szCs w:val="21"/>
        </w:rPr>
      </w:pPr>
      <w:r>
        <w:rPr>
          <w:rFonts w:hint="eastAsia" w:ascii="楷体" w:hAnsi="楷体" w:eastAsia="楷体" w:cs="Calibri"/>
          <w:b w:val="0"/>
          <w:bCs/>
          <w:sz w:val="21"/>
          <w:szCs w:val="21"/>
        </w:rPr>
        <w:t>申购份额的计算</w:t>
      </w:r>
    </w:p>
    <w:p>
      <w:pPr>
        <w:ind w:firstLine="420" w:firstLineChars="200"/>
        <w:rPr>
          <w:rFonts w:hint="eastAsia" w:ascii="楷体" w:hAnsi="楷体" w:eastAsia="楷体"/>
          <w:sz w:val="21"/>
          <w:szCs w:val="21"/>
        </w:rPr>
      </w:pPr>
      <w:r>
        <w:rPr>
          <w:rFonts w:hint="eastAsia" w:ascii="楷体" w:hAnsi="楷体" w:eastAsia="楷体"/>
          <w:sz w:val="21"/>
          <w:szCs w:val="21"/>
        </w:rPr>
        <w:t>申购份额=申购金额/开放日产品单位净值</w:t>
      </w:r>
      <w:r>
        <w:rPr>
          <w:rFonts w:hint="eastAsia" w:ascii="楷体" w:hAnsi="楷体" w:eastAsia="楷体"/>
          <w:sz w:val="21"/>
          <w:szCs w:val="21"/>
          <w:lang w:eastAsia="zh-CN"/>
        </w:rPr>
        <w:t>，</w:t>
      </w:r>
      <w:r>
        <w:rPr>
          <w:rFonts w:hint="eastAsia" w:ascii="楷体" w:hAnsi="楷体" w:eastAsia="楷体"/>
          <w:sz w:val="21"/>
          <w:szCs w:val="21"/>
        </w:rPr>
        <w:t>申购份额以四舍五入的方法保留到小数点后两位</w:t>
      </w:r>
    </w:p>
    <w:p>
      <w:pPr>
        <w:numPr>
          <w:ilvl w:val="0"/>
          <w:numId w:val="10"/>
        </w:numPr>
        <w:tabs>
          <w:tab w:val="left" w:pos="993"/>
        </w:tabs>
        <w:ind w:left="0" w:firstLine="420" w:firstLineChars="200"/>
        <w:outlineLvl w:val="2"/>
        <w:rPr>
          <w:rFonts w:hint="eastAsia" w:ascii="楷体" w:hAnsi="楷体" w:eastAsia="楷体" w:cs="Calibri"/>
          <w:b w:val="0"/>
          <w:bCs/>
          <w:sz w:val="21"/>
          <w:szCs w:val="21"/>
        </w:rPr>
      </w:pPr>
      <w:r>
        <w:rPr>
          <w:rFonts w:hint="eastAsia" w:ascii="楷体" w:hAnsi="楷体" w:eastAsia="楷体" w:cs="Calibri"/>
          <w:b w:val="0"/>
          <w:bCs/>
          <w:sz w:val="21"/>
          <w:szCs w:val="21"/>
        </w:rPr>
        <w:t>赎回金额的计算</w:t>
      </w:r>
    </w:p>
    <w:p>
      <w:pPr>
        <w:ind w:firstLine="420" w:firstLineChars="200"/>
        <w:rPr>
          <w:rFonts w:hint="eastAsia" w:ascii="楷体" w:hAnsi="楷体" w:eastAsia="楷体"/>
          <w:sz w:val="21"/>
          <w:szCs w:val="21"/>
        </w:rPr>
      </w:pPr>
      <w:r>
        <w:rPr>
          <w:rFonts w:hint="eastAsia" w:ascii="楷体" w:hAnsi="楷体" w:eastAsia="楷体"/>
          <w:sz w:val="21"/>
          <w:szCs w:val="21"/>
        </w:rPr>
        <w:t>赎回金额=赎回份额*开放日产品单位净值</w:t>
      </w:r>
      <w:r>
        <w:rPr>
          <w:rFonts w:hint="eastAsia" w:ascii="楷体" w:hAnsi="楷体" w:eastAsia="楷体"/>
          <w:sz w:val="21"/>
          <w:szCs w:val="21"/>
          <w:lang w:val="en-US" w:eastAsia="zh-CN"/>
        </w:rPr>
        <w:t>-超额业绩报酬（如有）</w:t>
      </w:r>
      <w:r>
        <w:rPr>
          <w:rFonts w:hint="eastAsia" w:ascii="楷体" w:hAnsi="楷体" w:eastAsia="楷体"/>
          <w:sz w:val="21"/>
          <w:szCs w:val="21"/>
          <w:lang w:eastAsia="zh-CN"/>
        </w:rPr>
        <w:t>，</w:t>
      </w:r>
      <w:r>
        <w:rPr>
          <w:rFonts w:hint="eastAsia" w:ascii="楷体" w:hAnsi="楷体" w:eastAsia="楷体"/>
          <w:sz w:val="21"/>
          <w:szCs w:val="21"/>
        </w:rPr>
        <w:t>赎回金额以四舍五入的方法保留到小数点后两位</w:t>
      </w:r>
    </w:p>
    <w:p>
      <w:pPr>
        <w:numPr>
          <w:ilvl w:val="0"/>
          <w:numId w:val="10"/>
        </w:numPr>
        <w:tabs>
          <w:tab w:val="left" w:pos="993"/>
        </w:tabs>
        <w:ind w:left="0" w:firstLine="420" w:firstLineChars="200"/>
        <w:outlineLvl w:val="2"/>
        <w:rPr>
          <w:rFonts w:hint="eastAsia" w:ascii="楷体" w:hAnsi="楷体" w:eastAsia="楷体" w:cs="Calibri"/>
          <w:b w:val="0"/>
          <w:bCs/>
          <w:sz w:val="21"/>
          <w:szCs w:val="21"/>
        </w:rPr>
      </w:pPr>
      <w:r>
        <w:rPr>
          <w:rFonts w:hint="eastAsia" w:ascii="楷体" w:hAnsi="楷体" w:eastAsia="楷体" w:cs="Calibri"/>
          <w:b w:val="0"/>
          <w:bCs/>
          <w:sz w:val="21"/>
          <w:szCs w:val="21"/>
        </w:rPr>
        <w:t>巨额赎回</w:t>
      </w:r>
      <w:r>
        <w:rPr>
          <w:rFonts w:hint="eastAsia" w:ascii="楷体" w:hAnsi="楷体" w:eastAsia="楷体" w:cs="Calibri"/>
          <w:b w:val="0"/>
          <w:bCs/>
          <w:sz w:val="21"/>
          <w:szCs w:val="21"/>
          <w:lang w:eastAsia="zh-CN"/>
        </w:rPr>
        <w:t>：</w:t>
      </w:r>
      <w:r>
        <w:rPr>
          <w:rFonts w:hint="eastAsia" w:ascii="楷体" w:hAnsi="楷体" w:eastAsia="楷体" w:cs="Calibri"/>
          <w:b w:val="0"/>
          <w:bCs/>
          <w:sz w:val="21"/>
          <w:szCs w:val="21"/>
          <w:lang w:val="en-US" w:eastAsia="zh-CN"/>
        </w:rPr>
        <w:t>详见“产品要素”</w:t>
      </w:r>
    </w:p>
    <w:p>
      <w:pPr>
        <w:numPr>
          <w:ilvl w:val="0"/>
          <w:numId w:val="10"/>
        </w:numPr>
        <w:tabs>
          <w:tab w:val="left" w:pos="993"/>
        </w:tabs>
        <w:ind w:left="0" w:firstLine="420" w:firstLineChars="200"/>
        <w:outlineLvl w:val="2"/>
        <w:rPr>
          <w:rFonts w:hint="eastAsia" w:ascii="楷体" w:hAnsi="楷体" w:eastAsia="楷体" w:cs="Calibri"/>
          <w:b w:val="0"/>
          <w:bCs/>
          <w:sz w:val="21"/>
          <w:szCs w:val="21"/>
        </w:rPr>
      </w:pPr>
      <w:r>
        <w:rPr>
          <w:rFonts w:hint="eastAsia" w:ascii="楷体" w:hAnsi="楷体" w:eastAsia="楷体" w:cs="Calibri"/>
          <w:b w:val="0"/>
          <w:bCs/>
          <w:sz w:val="21"/>
          <w:szCs w:val="21"/>
        </w:rPr>
        <w:t>特殊情形及处理</w:t>
      </w:r>
    </w:p>
    <w:p>
      <w:pPr>
        <w:ind w:firstLine="420" w:firstLineChars="200"/>
        <w:rPr>
          <w:rFonts w:ascii="楷体" w:hAnsi="楷体" w:eastAsia="楷体"/>
          <w:b w:val="0"/>
          <w:bCs w:val="0"/>
          <w:sz w:val="21"/>
          <w:szCs w:val="21"/>
        </w:rPr>
      </w:pPr>
      <w:r>
        <w:rPr>
          <w:rFonts w:ascii="楷体" w:hAnsi="楷体" w:eastAsia="楷体"/>
          <w:b w:val="0"/>
          <w:bCs w:val="0"/>
          <w:sz w:val="21"/>
          <w:szCs w:val="21"/>
        </w:rPr>
        <w:t>1.</w:t>
      </w:r>
      <w:r>
        <w:rPr>
          <w:rFonts w:hint="eastAsia" w:ascii="楷体" w:hAnsi="楷体" w:eastAsia="楷体"/>
          <w:b w:val="0"/>
          <w:bCs w:val="0"/>
          <w:sz w:val="21"/>
          <w:szCs w:val="21"/>
        </w:rPr>
        <w:t>除以下情形外，管理人不得拒绝接受或暂停接受投资者的申购申请：</w:t>
      </w:r>
    </w:p>
    <w:p>
      <w:pPr>
        <w:numPr>
          <w:ilvl w:val="0"/>
          <w:numId w:val="0"/>
        </w:numPr>
        <w:tabs>
          <w:tab w:val="left" w:pos="728"/>
        </w:tabs>
        <w:ind w:left="0" w:leftChars="0" w:firstLine="420" w:firstLineChars="200"/>
        <w:rPr>
          <w:rFonts w:ascii="楷体" w:hAnsi="楷体" w:eastAsia="楷体" w:cs="Calibri"/>
          <w:sz w:val="21"/>
          <w:szCs w:val="21"/>
        </w:rPr>
      </w:pPr>
      <w:r>
        <w:rPr>
          <w:rFonts w:hint="eastAsia" w:ascii="楷体" w:hAnsi="楷体" w:eastAsia="楷体" w:cs="Calibri"/>
          <w:sz w:val="21"/>
          <w:szCs w:val="21"/>
        </w:rPr>
        <w:t>（1）不可抗力的原因导致产品无法正常运作</w:t>
      </w:r>
      <w:r>
        <w:rPr>
          <w:rFonts w:hint="eastAsia" w:ascii="楷体" w:hAnsi="楷体" w:eastAsia="楷体" w:cs="Calibri"/>
          <w:sz w:val="21"/>
          <w:szCs w:val="21"/>
          <w:lang w:eastAsia="zh-CN"/>
        </w:rPr>
        <w:t>；</w:t>
      </w:r>
      <w:r>
        <w:rPr>
          <w:rFonts w:hint="eastAsia" w:ascii="楷体" w:hAnsi="楷体" w:eastAsia="楷体" w:cs="Calibri"/>
          <w:sz w:val="21"/>
          <w:szCs w:val="21"/>
        </w:rPr>
        <w:t>（2）超出产品单一投资者持有上限</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3</w:t>
      </w:r>
      <w:r>
        <w:rPr>
          <w:rFonts w:hint="eastAsia" w:ascii="楷体" w:hAnsi="楷体" w:eastAsia="楷体" w:cs="Calibri"/>
          <w:sz w:val="21"/>
          <w:szCs w:val="21"/>
        </w:rPr>
        <w:t>）发生《理财产品说明书》约定的暂停估值的情形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4</w:t>
      </w:r>
      <w:r>
        <w:rPr>
          <w:rFonts w:hint="eastAsia" w:ascii="楷体" w:hAnsi="楷体" w:eastAsia="楷体" w:cs="Calibri"/>
          <w:sz w:val="21"/>
          <w:szCs w:val="21"/>
        </w:rPr>
        <w:t>）管理人接受某笔或者某些申购申请有可能导致单一投资者持有理财</w:t>
      </w:r>
      <w:r>
        <w:rPr>
          <w:rFonts w:hint="eastAsia" w:ascii="楷体" w:hAnsi="楷体" w:eastAsia="楷体" w:cs="Calibri"/>
          <w:sz w:val="21"/>
          <w:szCs w:val="21"/>
          <w:lang w:val="en-US" w:eastAsia="zh-CN"/>
        </w:rPr>
        <w:t>产品</w:t>
      </w:r>
      <w:r>
        <w:rPr>
          <w:rFonts w:hint="eastAsia" w:ascii="楷体" w:hAnsi="楷体" w:eastAsia="楷体" w:cs="Calibri"/>
          <w:sz w:val="21"/>
          <w:szCs w:val="21"/>
        </w:rPr>
        <w:t>份额的比例达到或者超过50%的情形</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5</w:t>
      </w:r>
      <w:r>
        <w:rPr>
          <w:rFonts w:hint="eastAsia" w:ascii="楷体" w:hAnsi="楷体" w:eastAsia="楷体" w:cs="Calibri"/>
          <w:sz w:val="21"/>
          <w:szCs w:val="21"/>
        </w:rPr>
        <w:t>）当接受某笔或某些申购申请可能对存量理财</w:t>
      </w:r>
      <w:r>
        <w:rPr>
          <w:rFonts w:hint="eastAsia" w:ascii="楷体" w:hAnsi="楷体" w:eastAsia="楷体" w:cs="Calibri"/>
          <w:sz w:val="21"/>
          <w:szCs w:val="21"/>
          <w:lang w:val="en-US" w:eastAsia="zh-CN"/>
        </w:rPr>
        <w:t>产品</w:t>
      </w:r>
      <w:r>
        <w:rPr>
          <w:rFonts w:hint="eastAsia" w:ascii="楷体" w:hAnsi="楷体" w:eastAsia="楷体" w:cs="Calibri"/>
          <w:sz w:val="21"/>
          <w:szCs w:val="21"/>
        </w:rPr>
        <w:t>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w:t>
      </w:r>
      <w:r>
        <w:rPr>
          <w:rFonts w:hint="eastAsia" w:ascii="楷体" w:hAnsi="楷体" w:eastAsia="楷体" w:cs="Calibri"/>
          <w:sz w:val="21"/>
          <w:szCs w:val="21"/>
          <w:lang w:val="en-US" w:eastAsia="zh-CN"/>
        </w:rPr>
        <w:t>6</w:t>
      </w:r>
      <w:r>
        <w:rPr>
          <w:rFonts w:hint="eastAsia" w:ascii="楷体" w:hAnsi="楷体" w:eastAsia="楷体" w:cs="Calibri"/>
          <w:sz w:val="21"/>
          <w:szCs w:val="21"/>
        </w:rPr>
        <w:t>）法律、法规规定认定的其他情形。</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若管理人决定拒绝接受或暂停接受投资者的申购申请，则将会在3个交易日内根据《理财产品说明书》约定的信息披露方式向投资者进行信息披露。若投资者的全部或部分申购申请被拒绝，被拒绝申购款项本金将退还给投资者。在上述暂停或拒绝申购的情况消除后，管理人将及时恢复申购业务的办理。</w:t>
      </w:r>
    </w:p>
    <w:p>
      <w:pPr>
        <w:ind w:firstLine="420" w:firstLineChars="200"/>
        <w:rPr>
          <w:rFonts w:ascii="楷体" w:hAnsi="楷体" w:eastAsia="楷体"/>
          <w:b w:val="0"/>
          <w:bCs w:val="0"/>
          <w:sz w:val="21"/>
          <w:szCs w:val="21"/>
        </w:rPr>
      </w:pPr>
      <w:r>
        <w:rPr>
          <w:rFonts w:ascii="楷体" w:hAnsi="楷体" w:eastAsia="楷体"/>
          <w:b w:val="0"/>
          <w:bCs w:val="0"/>
          <w:sz w:val="21"/>
          <w:szCs w:val="21"/>
        </w:rPr>
        <w:t>2.</w:t>
      </w:r>
      <w:r>
        <w:rPr>
          <w:rFonts w:hint="eastAsia" w:ascii="楷体" w:hAnsi="楷体" w:eastAsia="楷体"/>
          <w:b w:val="0"/>
          <w:bCs w:val="0"/>
          <w:sz w:val="21"/>
          <w:szCs w:val="21"/>
        </w:rPr>
        <w:t>除以下情形外，管理人不得暂停接受投资者的赎回申请或延缓支付赎回款项：</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Calibri"/>
          <w:sz w:val="21"/>
          <w:szCs w:val="21"/>
        </w:rPr>
        <w:t>（1）不可抗力的原因导致管理人不能支付赎回款项</w:t>
      </w:r>
      <w:r>
        <w:rPr>
          <w:rFonts w:hint="eastAsia" w:ascii="楷体" w:hAnsi="楷体" w:eastAsia="楷体" w:cs="Calibri"/>
          <w:sz w:val="21"/>
          <w:szCs w:val="21"/>
          <w:lang w:eastAsia="zh-CN"/>
        </w:rPr>
        <w:t>；</w:t>
      </w:r>
      <w:r>
        <w:rPr>
          <w:rFonts w:hint="eastAsia" w:ascii="楷体" w:hAnsi="楷体" w:eastAsia="楷体" w:cs="Calibri"/>
          <w:sz w:val="21"/>
          <w:szCs w:val="21"/>
        </w:rPr>
        <w:t>（2）触发巨额赎回条款</w:t>
      </w:r>
      <w:r>
        <w:rPr>
          <w:rFonts w:hint="eastAsia" w:ascii="楷体" w:hAnsi="楷体" w:eastAsia="楷体" w:cs="Calibri"/>
          <w:sz w:val="21"/>
          <w:szCs w:val="21"/>
          <w:lang w:eastAsia="zh-CN"/>
        </w:rPr>
        <w:t>；</w:t>
      </w:r>
      <w:r>
        <w:rPr>
          <w:rFonts w:hint="eastAsia" w:ascii="楷体" w:hAnsi="楷体" w:eastAsia="楷体" w:cs="Calibri"/>
          <w:sz w:val="21"/>
          <w:szCs w:val="21"/>
        </w:rPr>
        <w:t>（3）发生《理财产品说明书》约定的暂停估值的情形</w:t>
      </w:r>
      <w:r>
        <w:rPr>
          <w:rFonts w:hint="eastAsia" w:ascii="楷体" w:hAnsi="楷体" w:eastAsia="楷体" w:cs="Calibri"/>
          <w:sz w:val="21"/>
          <w:szCs w:val="21"/>
          <w:lang w:eastAsia="zh-CN"/>
        </w:rPr>
        <w:t>；</w:t>
      </w:r>
      <w:r>
        <w:rPr>
          <w:rFonts w:hint="eastAsia" w:ascii="楷体" w:hAnsi="楷体" w:eastAsia="楷体" w:cs="Calibri"/>
          <w:sz w:val="21"/>
          <w:szCs w:val="21"/>
        </w:rPr>
        <w:t>（4）当接受某笔或某些赎回申请可能对存量理财</w:t>
      </w:r>
      <w:r>
        <w:rPr>
          <w:rFonts w:hint="eastAsia" w:ascii="楷体" w:hAnsi="楷体" w:eastAsia="楷体" w:cs="Calibri"/>
          <w:sz w:val="21"/>
          <w:szCs w:val="21"/>
          <w:lang w:val="en-US" w:eastAsia="zh-CN"/>
        </w:rPr>
        <w:t>产品</w:t>
      </w:r>
      <w:r>
        <w:rPr>
          <w:rFonts w:hint="eastAsia" w:ascii="楷体" w:hAnsi="楷体" w:eastAsia="楷体" w:cs="Calibri"/>
          <w:sz w:val="21"/>
          <w:szCs w:val="21"/>
        </w:rPr>
        <w:t>份额持有人利益构成潜在重大不利影响时</w:t>
      </w:r>
      <w:r>
        <w:rPr>
          <w:rFonts w:hint="eastAsia" w:ascii="楷体" w:hAnsi="楷体" w:eastAsia="楷体" w:cs="Calibri"/>
          <w:sz w:val="21"/>
          <w:szCs w:val="21"/>
          <w:lang w:eastAsia="zh-CN"/>
        </w:rPr>
        <w:t>；</w:t>
      </w:r>
      <w:r>
        <w:rPr>
          <w:rFonts w:hint="eastAsia" w:ascii="楷体" w:hAnsi="楷体" w:eastAsia="楷体" w:cs="Calibri"/>
          <w:sz w:val="21"/>
          <w:szCs w:val="21"/>
        </w:rPr>
        <w:t>（5）法律、法规规定认定的其他情形。</w:t>
      </w:r>
    </w:p>
    <w:p>
      <w:pPr>
        <w:numPr>
          <w:ilvl w:val="0"/>
          <w:numId w:val="0"/>
        </w:numPr>
        <w:tabs>
          <w:tab w:val="left" w:pos="728"/>
        </w:tabs>
        <w:ind w:firstLine="420" w:firstLineChars="200"/>
        <w:rPr>
          <w:rFonts w:hint="eastAsia" w:ascii="楷体" w:hAnsi="楷体" w:eastAsia="楷体" w:cs="Calibri"/>
          <w:sz w:val="21"/>
          <w:szCs w:val="21"/>
        </w:rPr>
      </w:pPr>
      <w:r>
        <w:rPr>
          <w:rFonts w:hint="eastAsia" w:ascii="楷体" w:hAnsi="楷体" w:eastAsia="楷体" w:cs="Calibri"/>
          <w:sz w:val="21"/>
          <w:szCs w:val="21"/>
        </w:rPr>
        <w:t>若管理人决定</w:t>
      </w:r>
      <w:r>
        <w:rPr>
          <w:rFonts w:hint="eastAsia" w:ascii="楷体" w:hAnsi="楷体" w:eastAsia="楷体"/>
          <w:sz w:val="21"/>
          <w:szCs w:val="21"/>
        </w:rPr>
        <w:t>暂停接受投资者的赎回申请或延缓支付赎回款项</w:t>
      </w:r>
      <w:r>
        <w:rPr>
          <w:rFonts w:hint="eastAsia" w:ascii="楷体" w:hAnsi="楷体" w:eastAsia="楷体" w:cs="Calibri"/>
          <w:sz w:val="21"/>
          <w:szCs w:val="21"/>
        </w:rPr>
        <w:t>，则将会在3个交易日内根据《理财产品说明书》约定的信息披露方式向投资者进行信息披露。若投资者的全部或部分赎回申请被拒绝，投资者可将当日未能受理部分予以撤销。在上述</w:t>
      </w:r>
      <w:r>
        <w:rPr>
          <w:rFonts w:hint="eastAsia" w:ascii="楷体" w:hAnsi="楷体" w:eastAsia="楷体"/>
          <w:sz w:val="21"/>
          <w:szCs w:val="21"/>
        </w:rPr>
        <w:t>暂停接受投资者的赎回申请或延缓支付赎回款项的情况消除后</w:t>
      </w:r>
      <w:r>
        <w:rPr>
          <w:rFonts w:hint="eastAsia" w:ascii="楷体" w:hAnsi="楷体" w:eastAsia="楷体" w:cs="Calibri"/>
          <w:sz w:val="21"/>
          <w:szCs w:val="21"/>
        </w:rPr>
        <w:t>，管理人将及时恢复</w:t>
      </w:r>
      <w:r>
        <w:rPr>
          <w:rFonts w:hint="eastAsia" w:ascii="楷体" w:hAnsi="楷体" w:eastAsia="楷体" w:cs="Calibri"/>
          <w:sz w:val="21"/>
          <w:szCs w:val="21"/>
          <w:lang w:val="en-US" w:eastAsia="zh-CN"/>
        </w:rPr>
        <w:t>赎回</w:t>
      </w:r>
      <w:r>
        <w:rPr>
          <w:rFonts w:hint="eastAsia" w:ascii="楷体" w:hAnsi="楷体" w:eastAsia="楷体" w:cs="Calibri"/>
          <w:sz w:val="21"/>
          <w:szCs w:val="21"/>
        </w:rPr>
        <w:t>业务的办理。</w:t>
      </w:r>
    </w:p>
    <w:p>
      <w:pPr>
        <w:keepNext w:val="0"/>
        <w:keepLines w:val="0"/>
        <w:pageBreakBefore w:val="0"/>
        <w:widowControl w:val="0"/>
        <w:numPr>
          <w:ilvl w:val="0"/>
          <w:numId w:val="2"/>
        </w:numPr>
        <w:tabs>
          <w:tab w:val="left" w:pos="1134"/>
          <w:tab w:val="clear" w:pos="0"/>
        </w:tabs>
        <w:kinsoku/>
        <w:wordWrap/>
        <w:overflowPunct/>
        <w:topLinePunct w:val="0"/>
        <w:autoSpaceDE/>
        <w:autoSpaceDN/>
        <w:bidi w:val="0"/>
        <w:adjustRightInd/>
        <w:snapToGrid/>
        <w:ind w:left="0" w:leftChars="0" w:firstLine="422" w:firstLineChars="200"/>
        <w:textAlignment w:val="auto"/>
        <w:outlineLvl w:val="1"/>
        <w:rPr>
          <w:rFonts w:hint="eastAsia" w:ascii="楷体" w:hAnsi="楷体" w:eastAsia="楷体"/>
          <w:b/>
          <w:sz w:val="21"/>
          <w:szCs w:val="21"/>
          <w:highlight w:val="none"/>
        </w:rPr>
      </w:pPr>
      <w:r>
        <w:rPr>
          <w:rFonts w:hint="eastAsia" w:ascii="楷体" w:hAnsi="楷体" w:eastAsia="楷体"/>
          <w:b/>
          <w:sz w:val="21"/>
          <w:szCs w:val="21"/>
          <w:highlight w:val="none"/>
        </w:rPr>
        <w:t>收益分配</w:t>
      </w:r>
    </w:p>
    <w:p>
      <w:pPr>
        <w:ind w:firstLine="420" w:firstLineChars="200"/>
        <w:rPr>
          <w:rFonts w:hint="eastAsia" w:ascii="楷体" w:hAnsi="楷体" w:eastAsia="楷体"/>
          <w:sz w:val="21"/>
          <w:szCs w:val="21"/>
        </w:rPr>
      </w:pPr>
      <w:r>
        <w:rPr>
          <w:rFonts w:hint="eastAsia" w:ascii="楷体" w:hAnsi="楷体" w:eastAsia="楷体"/>
          <w:sz w:val="21"/>
          <w:szCs w:val="21"/>
        </w:rPr>
        <w:t>本产品</w:t>
      </w:r>
      <w:r>
        <w:rPr>
          <w:rFonts w:hint="eastAsia" w:ascii="楷体" w:hAnsi="楷体" w:eastAsia="楷体"/>
          <w:sz w:val="21"/>
          <w:szCs w:val="21"/>
          <w:lang w:val="en-US" w:eastAsia="zh-CN"/>
        </w:rPr>
        <w:t>计划</w:t>
      </w:r>
      <w:r>
        <w:rPr>
          <w:rFonts w:hint="eastAsia" w:ascii="楷体" w:hAnsi="楷体" w:eastAsia="楷体"/>
          <w:sz w:val="21"/>
          <w:szCs w:val="21"/>
        </w:rPr>
        <w:t>按投资周期进行现金分红。当一个投资周期结束，在满足投资周期终止日理财产品单位净值大于面值的条件下，管理人可进行现金分红，现金分红金额为单个投资周期投资产生的收益扣除固定费用（包括托管费、销售服务费、投资管理费）、运作产品所必须缴纳的税费、提取业绩报酬（如有）后的部分，将于投资周期终止日后2个工作日内分配至投资者资金账户。</w:t>
      </w:r>
    </w:p>
    <w:p>
      <w:pPr>
        <w:ind w:firstLine="422" w:firstLineChars="200"/>
        <w:rPr>
          <w:rFonts w:hint="eastAsia" w:ascii="楷体" w:hAnsi="楷体" w:eastAsia="楷体"/>
          <w:sz w:val="21"/>
          <w:szCs w:val="21"/>
          <w:lang w:eastAsia="zh-CN"/>
        </w:rPr>
      </w:pPr>
      <w:r>
        <w:rPr>
          <w:rFonts w:hint="eastAsia" w:ascii="楷体" w:hAnsi="楷体" w:eastAsia="楷体"/>
          <w:b/>
          <w:sz w:val="21"/>
          <w:szCs w:val="21"/>
          <w:u w:val="single"/>
        </w:rPr>
        <w:t>以下示例均为假设情况，不代表本产品实际投资业绩</w:t>
      </w:r>
      <w:r>
        <w:rPr>
          <w:rFonts w:hint="eastAsia" w:ascii="楷体" w:hAnsi="楷体" w:eastAsia="楷体"/>
          <w:b/>
          <w:sz w:val="21"/>
          <w:szCs w:val="21"/>
          <w:u w:val="single"/>
          <w:lang w:eastAsia="zh-CN"/>
        </w:rPr>
        <w:t>。</w:t>
      </w:r>
    </w:p>
    <w:p>
      <w:pPr>
        <w:ind w:firstLine="420" w:firstLineChars="200"/>
        <w:rPr>
          <w:rFonts w:hint="eastAsia" w:ascii="楷体" w:hAnsi="楷体" w:eastAsia="楷体"/>
          <w:sz w:val="21"/>
          <w:szCs w:val="21"/>
        </w:rPr>
      </w:pPr>
      <w:r>
        <w:rPr>
          <w:rFonts w:hint="eastAsia" w:ascii="楷体" w:hAnsi="楷体" w:eastAsia="楷体"/>
          <w:sz w:val="21"/>
          <w:szCs w:val="21"/>
        </w:rPr>
        <w:t>1.情景一</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假定投资者在该投资周期持有该产品的份额为10,000.00份，该投资周期扣除固定费用（包括托管费、销售服务费、投资管理费）、运作产品所必须缴纳的税费、提取业绩报酬（如有）后，产品单位净值为1.0</w:t>
      </w:r>
      <w:r>
        <w:rPr>
          <w:rFonts w:hint="eastAsia" w:ascii="楷体" w:hAnsi="楷体" w:eastAsia="楷体"/>
          <w:sz w:val="21"/>
          <w:szCs w:val="21"/>
          <w:lang w:val="en-US" w:eastAsia="zh-CN"/>
        </w:rPr>
        <w:t>2</w:t>
      </w:r>
      <w:r>
        <w:rPr>
          <w:rFonts w:hint="eastAsia" w:ascii="楷体" w:hAnsi="楷体" w:eastAsia="楷体"/>
          <w:sz w:val="21"/>
          <w:szCs w:val="21"/>
        </w:rPr>
        <w:t>20。理财产品单位净值大于面值，管理人可进行现金分红，每份额可获得的现金分红为0.0</w:t>
      </w:r>
      <w:r>
        <w:rPr>
          <w:rFonts w:hint="eastAsia" w:ascii="楷体" w:hAnsi="楷体" w:eastAsia="楷体"/>
          <w:sz w:val="21"/>
          <w:szCs w:val="21"/>
          <w:lang w:val="en-US" w:eastAsia="zh-CN"/>
        </w:rPr>
        <w:t>2</w:t>
      </w:r>
      <w:r>
        <w:rPr>
          <w:rFonts w:hint="eastAsia" w:ascii="楷体" w:hAnsi="楷体" w:eastAsia="楷体"/>
          <w:sz w:val="21"/>
          <w:szCs w:val="21"/>
        </w:rPr>
        <w:t>20。</w:t>
      </w:r>
    </w:p>
    <w:p>
      <w:pPr>
        <w:ind w:firstLine="420" w:firstLineChars="200"/>
        <w:rPr>
          <w:rFonts w:hint="eastAsia" w:ascii="楷体" w:hAnsi="楷体" w:eastAsia="楷体"/>
          <w:sz w:val="21"/>
          <w:szCs w:val="21"/>
        </w:rPr>
      </w:pPr>
      <w:r>
        <w:rPr>
          <w:rFonts w:hint="eastAsia" w:ascii="楷体" w:hAnsi="楷体" w:eastAsia="楷体"/>
          <w:sz w:val="21"/>
          <w:szCs w:val="21"/>
        </w:rPr>
        <w:t>该投资周期投资者可得分红=10,000.00×0.0</w:t>
      </w:r>
      <w:r>
        <w:rPr>
          <w:rFonts w:hint="eastAsia" w:ascii="楷体" w:hAnsi="楷体" w:eastAsia="楷体"/>
          <w:sz w:val="21"/>
          <w:szCs w:val="21"/>
          <w:lang w:val="en-US" w:eastAsia="zh-CN"/>
        </w:rPr>
        <w:t>2</w:t>
      </w:r>
      <w:r>
        <w:rPr>
          <w:rFonts w:hint="eastAsia" w:ascii="楷体" w:hAnsi="楷体" w:eastAsia="楷体"/>
          <w:sz w:val="21"/>
          <w:szCs w:val="21"/>
        </w:rPr>
        <w:t>20=</w:t>
      </w:r>
      <w:r>
        <w:rPr>
          <w:rFonts w:hint="eastAsia" w:ascii="楷体" w:hAnsi="楷体" w:eastAsia="楷体"/>
          <w:sz w:val="21"/>
          <w:szCs w:val="21"/>
          <w:lang w:val="en-US" w:eastAsia="zh-CN"/>
        </w:rPr>
        <w:t>2</w:t>
      </w:r>
      <w:r>
        <w:rPr>
          <w:rFonts w:hint="eastAsia" w:ascii="楷体" w:hAnsi="楷体" w:eastAsia="楷体"/>
          <w:sz w:val="21"/>
          <w:szCs w:val="21"/>
        </w:rPr>
        <w:t>20.00（元）</w:t>
      </w:r>
    </w:p>
    <w:p>
      <w:pPr>
        <w:ind w:firstLine="420" w:firstLineChars="200"/>
        <w:rPr>
          <w:rFonts w:hint="eastAsia" w:ascii="楷体" w:hAnsi="楷体" w:eastAsia="楷体"/>
          <w:sz w:val="21"/>
          <w:szCs w:val="21"/>
        </w:rPr>
      </w:pPr>
      <w:r>
        <w:rPr>
          <w:rFonts w:hint="eastAsia" w:ascii="楷体" w:hAnsi="楷体" w:eastAsia="楷体"/>
          <w:sz w:val="21"/>
          <w:szCs w:val="21"/>
        </w:rPr>
        <w:t>2.情景二</w:t>
      </w:r>
    </w:p>
    <w:p>
      <w:pPr>
        <w:ind w:firstLine="420" w:firstLineChars="200"/>
        <w:rPr>
          <w:rFonts w:hint="eastAsia" w:ascii="楷体" w:hAnsi="楷体" w:eastAsia="楷体"/>
          <w:sz w:val="21"/>
          <w:szCs w:val="21"/>
        </w:rPr>
      </w:pPr>
      <w:r>
        <w:rPr>
          <w:rFonts w:hint="eastAsia" w:ascii="楷体" w:hAnsi="楷体" w:eastAsia="楷体"/>
          <w:sz w:val="21"/>
          <w:szCs w:val="21"/>
        </w:rPr>
        <w:t>假定投资者在该投资周期持有该产品的份额为10,000.00份，该投资周期扣除固定费用（包括托管费、销售服务费、投资管理费）、运作产品所必须缴纳的税费、提取业绩报酬（如有）后，产品单位净值为0.9975。理财产品单位净值小于面值，该投资周期无现金分红。</w:t>
      </w:r>
    </w:p>
    <w:p>
      <w:pPr>
        <w:ind w:firstLine="422" w:firstLineChars="200"/>
        <w:rPr>
          <w:rFonts w:hint="eastAsia"/>
          <w:sz w:val="21"/>
          <w:szCs w:val="21"/>
        </w:rPr>
      </w:pPr>
      <w:r>
        <w:rPr>
          <w:rFonts w:hint="eastAsia" w:ascii="楷体" w:hAnsi="楷体" w:eastAsia="楷体"/>
          <w:b/>
          <w:sz w:val="21"/>
          <w:szCs w:val="21"/>
          <w:u w:val="single"/>
        </w:rPr>
        <w:t>上述情况假设仅用于向投资者示例现金分红计算方法之用，并不代表管理人对实际分红情况的预期判断，也不代表以上所有情形或某一情形一定会发生，或管理人认为发生的可能性很大。投资者获得的最终</w:t>
      </w:r>
      <w:r>
        <w:rPr>
          <w:rFonts w:hint="eastAsia" w:ascii="楷体" w:hAnsi="楷体" w:eastAsia="楷体"/>
          <w:b/>
          <w:sz w:val="21"/>
          <w:szCs w:val="21"/>
          <w:u w:val="single"/>
          <w:lang w:val="en-US" w:eastAsia="zh-CN"/>
        </w:rPr>
        <w:t>收益</w:t>
      </w:r>
      <w:r>
        <w:rPr>
          <w:rFonts w:hint="eastAsia" w:ascii="楷体" w:hAnsi="楷体" w:eastAsia="楷体"/>
          <w:b/>
          <w:sz w:val="21"/>
          <w:szCs w:val="21"/>
          <w:u w:val="single"/>
        </w:rPr>
        <w:t>以产品实际运作表现及管理人实际支付为准。</w:t>
      </w:r>
    </w:p>
    <w:p>
      <w:pPr>
        <w:keepNext w:val="0"/>
        <w:keepLines w:val="0"/>
        <w:pageBreakBefore w:val="0"/>
        <w:widowControl w:val="0"/>
        <w:numPr>
          <w:ilvl w:val="0"/>
          <w:numId w:val="2"/>
        </w:numPr>
        <w:tabs>
          <w:tab w:val="left" w:pos="1428"/>
          <w:tab w:val="clear" w:pos="0"/>
        </w:tabs>
        <w:kinsoku/>
        <w:wordWrap/>
        <w:overflowPunct/>
        <w:topLinePunct w:val="0"/>
        <w:autoSpaceDE/>
        <w:autoSpaceDN/>
        <w:bidi w:val="0"/>
        <w:adjustRightInd/>
        <w:snapToGrid/>
        <w:ind w:left="0" w:leftChars="0" w:firstLine="422" w:firstLineChars="200"/>
        <w:textAlignment w:val="auto"/>
        <w:outlineLvl w:val="1"/>
        <w:rPr>
          <w:rFonts w:hint="eastAsia" w:ascii="楷体" w:hAnsi="楷体" w:eastAsia="楷体"/>
          <w:b/>
          <w:sz w:val="21"/>
          <w:szCs w:val="21"/>
        </w:rPr>
      </w:pPr>
      <w:r>
        <w:rPr>
          <w:rFonts w:hint="eastAsia" w:ascii="楷体" w:hAnsi="楷体" w:eastAsia="楷体"/>
          <w:b/>
          <w:sz w:val="21"/>
          <w:szCs w:val="21"/>
        </w:rPr>
        <w:t>产品终止</w:t>
      </w:r>
    </w:p>
    <w:p>
      <w:pPr>
        <w:keepNext w:val="0"/>
        <w:keepLines w:val="0"/>
        <w:pageBreakBefore w:val="0"/>
        <w:widowControl w:val="0"/>
        <w:numPr>
          <w:ilvl w:val="0"/>
          <w:numId w:val="12"/>
        </w:numPr>
        <w:tabs>
          <w:tab w:val="left" w:pos="993"/>
          <w:tab w:val="clear" w:pos="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提前终止</w:t>
      </w:r>
    </w:p>
    <w:p>
      <w:pPr>
        <w:numPr>
          <w:ilvl w:val="0"/>
          <w:numId w:val="0"/>
        </w:numPr>
        <w:ind w:left="0" w:firstLine="420" w:firstLineChars="200"/>
        <w:rPr>
          <w:rFonts w:hint="eastAsia" w:ascii="楷体" w:hAnsi="楷体" w:eastAsia="楷体"/>
          <w:b w:val="0"/>
          <w:bCs w:val="0"/>
          <w:color w:val="auto"/>
          <w:sz w:val="21"/>
          <w:szCs w:val="21"/>
        </w:rPr>
      </w:pPr>
      <w:r>
        <w:rPr>
          <w:rFonts w:hint="eastAsia" w:ascii="楷体" w:hAnsi="楷体" w:eastAsia="楷体" w:cs="Calibri"/>
          <w:b w:val="0"/>
          <w:bCs w:val="0"/>
          <w:color w:val="auto"/>
          <w:sz w:val="21"/>
          <w:szCs w:val="21"/>
        </w:rPr>
        <w:t>在理财产品投资运作期间内，投资者无权要求提前终止该理财产品。在理财产品投资运作期间内，</w:t>
      </w:r>
      <w:r>
        <w:rPr>
          <w:rFonts w:hint="eastAsia" w:ascii="楷体" w:hAnsi="楷体" w:eastAsia="楷体" w:cs="Calibri"/>
          <w:b w:val="0"/>
          <w:bCs w:val="0"/>
          <w:color w:val="auto"/>
          <w:sz w:val="21"/>
          <w:szCs w:val="21"/>
          <w:lang w:val="en-US" w:eastAsia="zh-CN"/>
        </w:rPr>
        <w:t>包括但不限于</w:t>
      </w:r>
      <w:r>
        <w:rPr>
          <w:rFonts w:hint="eastAsia" w:ascii="楷体" w:hAnsi="楷体" w:eastAsia="楷体" w:cs="Calibri"/>
          <w:b w:val="0"/>
          <w:bCs w:val="0"/>
          <w:color w:val="auto"/>
          <w:sz w:val="21"/>
          <w:szCs w:val="21"/>
        </w:rPr>
        <w:t>出现下列情形时，产品管理人有权提前终止本产品：因不可抗力原因导致理财产品无法继续运作；因法律法规变化或国家金融政策调整、紧急措施出台影响产品继续正常运作；法律法规规定或监管部门认定的其他情形。</w:t>
      </w:r>
      <w:r>
        <w:rPr>
          <w:rFonts w:hint="eastAsia" w:ascii="楷体" w:hAnsi="楷体" w:eastAsia="楷体"/>
          <w:b w:val="0"/>
          <w:bCs w:val="0"/>
          <w:color w:val="auto"/>
          <w:sz w:val="21"/>
          <w:szCs w:val="21"/>
        </w:rPr>
        <w:t>如理财产品管理人提前终止本理财产品，将至少提前2个工作日（含）按说明书约定的信息披露方式予以披露</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lang w:val="en-US" w:eastAsia="zh-CN"/>
        </w:rPr>
        <w:t>明确产品终止日</w:t>
      </w:r>
      <w:r>
        <w:rPr>
          <w:rFonts w:hint="eastAsia" w:ascii="楷体" w:hAnsi="楷体" w:eastAsia="楷体"/>
          <w:b w:val="0"/>
          <w:bCs w:val="0"/>
          <w:color w:val="auto"/>
          <w:sz w:val="21"/>
          <w:szCs w:val="21"/>
        </w:rPr>
        <w:t>。</w:t>
      </w:r>
    </w:p>
    <w:p>
      <w:pPr>
        <w:keepNext w:val="0"/>
        <w:keepLines w:val="0"/>
        <w:pageBreakBefore w:val="0"/>
        <w:widowControl w:val="0"/>
        <w:numPr>
          <w:ilvl w:val="0"/>
          <w:numId w:val="12"/>
        </w:numPr>
        <w:tabs>
          <w:tab w:val="left" w:pos="993"/>
          <w:tab w:val="clear" w:pos="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lang w:val="en-US" w:eastAsia="zh-CN"/>
        </w:rPr>
        <w:t>正常终止</w:t>
      </w:r>
    </w:p>
    <w:p>
      <w:pPr>
        <w:ind w:firstLine="420" w:firstLineChars="200"/>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投资者持有本理财产品至产品到期日，投资者的投资本金和收益（如有）将在产品到期后一次性支付。</w:t>
      </w:r>
    </w:p>
    <w:p>
      <w:pPr>
        <w:keepNext w:val="0"/>
        <w:keepLines w:val="0"/>
        <w:pageBreakBefore w:val="0"/>
        <w:widowControl w:val="0"/>
        <w:numPr>
          <w:ilvl w:val="0"/>
          <w:numId w:val="12"/>
        </w:numPr>
        <w:tabs>
          <w:tab w:val="left" w:pos="993"/>
          <w:tab w:val="clear" w:pos="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延期</w:t>
      </w:r>
      <w:r>
        <w:rPr>
          <w:rFonts w:hint="eastAsia" w:ascii="楷体" w:hAnsi="楷体" w:eastAsia="楷体" w:cs="Calibri"/>
          <w:b w:val="0"/>
          <w:bCs w:val="0"/>
          <w:color w:val="auto"/>
          <w:sz w:val="21"/>
          <w:szCs w:val="21"/>
          <w:lang w:val="en-US" w:eastAsia="zh-CN"/>
        </w:rPr>
        <w:t>终止</w:t>
      </w:r>
    </w:p>
    <w:p>
      <w:pPr>
        <w:ind w:firstLine="420" w:firstLineChars="200"/>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出现以下情况，产品管理人有权延长本理财产品的终止日：产品终止日遇非工作日则顺延至下一工作日，投资者清算资金到账日将相应调整；因不可抗力、市场发生重大变化等原因导致产品项下对应的投资标的无法及时变现、无法及时收回资金；法律法规规定或监管部门认定的其他情形。产品管理人决定延期兑付的，将至少提前2个工作日（含）按说明书约定的信息披露方式予以披露</w:t>
      </w:r>
      <w:r>
        <w:rPr>
          <w:rFonts w:hint="eastAsia" w:ascii="楷体" w:hAnsi="楷体" w:eastAsia="楷体" w:cs="Calibri"/>
          <w:color w:val="auto"/>
          <w:sz w:val="21"/>
          <w:szCs w:val="21"/>
        </w:rPr>
        <w:t>。</w:t>
      </w:r>
    </w:p>
    <w:p>
      <w:pPr>
        <w:keepNext w:val="0"/>
        <w:keepLines w:val="0"/>
        <w:pageBreakBefore w:val="0"/>
        <w:widowControl w:val="0"/>
        <w:numPr>
          <w:ilvl w:val="0"/>
          <w:numId w:val="12"/>
        </w:numPr>
        <w:tabs>
          <w:tab w:val="left" w:pos="993"/>
          <w:tab w:val="clear" w:pos="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rPr>
        <w:t>投资者可得资金计算</w:t>
      </w:r>
    </w:p>
    <w:p>
      <w:pPr>
        <w:ind w:firstLine="420" w:firstLineChars="200"/>
        <w:rPr>
          <w:rFonts w:hint="eastAsia" w:ascii="楷体" w:hAnsi="楷体" w:eastAsia="楷体"/>
          <w:b w:val="0"/>
          <w:bCs w:val="0"/>
          <w:color w:val="auto"/>
          <w:sz w:val="21"/>
          <w:szCs w:val="21"/>
        </w:rPr>
      </w:pPr>
      <w:r>
        <w:rPr>
          <w:rFonts w:hint="eastAsia" w:ascii="楷体" w:hAnsi="楷体" w:eastAsia="楷体"/>
          <w:b w:val="0"/>
          <w:bCs w:val="0"/>
          <w:color w:val="auto"/>
          <w:sz w:val="21"/>
          <w:szCs w:val="21"/>
        </w:rPr>
        <w:t>投资者可得资金=投资者持有份额×产品到期</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lang w:val="en-US" w:eastAsia="zh-CN"/>
        </w:rPr>
        <w:t>终止）</w:t>
      </w:r>
      <w:r>
        <w:rPr>
          <w:rFonts w:hint="eastAsia" w:ascii="楷体" w:hAnsi="楷体" w:eastAsia="楷体"/>
          <w:b w:val="0"/>
          <w:bCs w:val="0"/>
          <w:color w:val="auto"/>
          <w:sz w:val="21"/>
          <w:szCs w:val="21"/>
        </w:rPr>
        <w:t>时单位净值</w:t>
      </w:r>
      <w:r>
        <w:rPr>
          <w:rFonts w:hint="eastAsia" w:ascii="楷体" w:hAnsi="楷体" w:eastAsia="楷体"/>
          <w:b w:val="0"/>
          <w:bCs w:val="0"/>
          <w:color w:val="auto"/>
          <w:sz w:val="21"/>
          <w:szCs w:val="21"/>
          <w:lang w:val="en-US" w:eastAsia="zh-CN"/>
        </w:rPr>
        <w:t>-超额业绩报酬（如有）</w:t>
      </w:r>
      <w:r>
        <w:rPr>
          <w:rFonts w:hint="eastAsia" w:ascii="楷体" w:hAnsi="楷体" w:eastAsia="楷体"/>
          <w:b w:val="0"/>
          <w:bCs w:val="0"/>
          <w:color w:val="auto"/>
          <w:sz w:val="21"/>
          <w:szCs w:val="21"/>
          <w:lang w:eastAsia="zh-CN"/>
        </w:rPr>
        <w:t>，</w:t>
      </w:r>
      <w:r>
        <w:rPr>
          <w:rFonts w:hint="eastAsia" w:ascii="楷体" w:hAnsi="楷体" w:eastAsia="楷体"/>
          <w:b w:val="0"/>
          <w:bCs w:val="0"/>
          <w:color w:val="auto"/>
          <w:sz w:val="21"/>
          <w:szCs w:val="21"/>
        </w:rPr>
        <w:t>投资者可得资金以四舍五入的方法保留到小数点后两位。</w:t>
      </w:r>
    </w:p>
    <w:p>
      <w:pPr>
        <w:keepNext w:val="0"/>
        <w:keepLines w:val="0"/>
        <w:pageBreakBefore w:val="0"/>
        <w:widowControl w:val="0"/>
        <w:numPr>
          <w:ilvl w:val="0"/>
          <w:numId w:val="12"/>
        </w:numPr>
        <w:tabs>
          <w:tab w:val="left" w:pos="993"/>
          <w:tab w:val="clear" w:pos="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b w:val="0"/>
          <w:bCs w:val="0"/>
          <w:color w:val="auto"/>
          <w:sz w:val="21"/>
          <w:szCs w:val="21"/>
        </w:rPr>
      </w:pPr>
      <w:r>
        <w:rPr>
          <w:rFonts w:hint="eastAsia" w:ascii="楷体" w:hAnsi="楷体" w:eastAsia="楷体" w:cs="Calibri"/>
          <w:b w:val="0"/>
          <w:bCs w:val="0"/>
          <w:color w:val="auto"/>
          <w:sz w:val="21"/>
          <w:szCs w:val="21"/>
          <w:lang w:val="en-US" w:eastAsia="zh-CN"/>
        </w:rPr>
        <w:t>终止</w:t>
      </w:r>
      <w:r>
        <w:rPr>
          <w:rFonts w:hint="eastAsia" w:ascii="楷体" w:hAnsi="楷体" w:eastAsia="楷体" w:cs="Calibri"/>
          <w:b w:val="0"/>
          <w:bCs w:val="0"/>
          <w:color w:val="auto"/>
          <w:sz w:val="21"/>
          <w:szCs w:val="21"/>
        </w:rPr>
        <w:t>清算</w:t>
      </w:r>
    </w:p>
    <w:p>
      <w:pPr>
        <w:widowControl w:val="0"/>
        <w:numPr>
          <w:ilvl w:val="0"/>
          <w:numId w:val="0"/>
        </w:numPr>
        <w:tabs>
          <w:tab w:val="left" w:pos="1092"/>
        </w:tabs>
        <w:jc w:val="both"/>
        <w:rPr>
          <w:rFonts w:hint="eastAsia" w:ascii="楷体" w:hAnsi="楷体" w:eastAsia="楷体" w:cs="Calibri"/>
          <w:color w:val="auto"/>
          <w:sz w:val="21"/>
          <w:szCs w:val="21"/>
          <w:lang w:eastAsia="zh-CN"/>
        </w:rPr>
      </w:pPr>
      <w:r>
        <w:rPr>
          <w:rFonts w:hint="eastAsia" w:ascii="楷体" w:hAnsi="楷体" w:eastAsia="楷体" w:cs="Calibri"/>
          <w:color w:val="auto"/>
          <w:sz w:val="21"/>
          <w:szCs w:val="21"/>
        </w:rPr>
        <w:t>投资者的投资本金和收益（如有）将于产品到期日</w:t>
      </w:r>
      <w:r>
        <w:rPr>
          <w:rFonts w:hint="eastAsia" w:ascii="楷体" w:hAnsi="楷体" w:eastAsia="楷体" w:cs="Calibri"/>
          <w:color w:val="auto"/>
          <w:sz w:val="21"/>
          <w:szCs w:val="21"/>
          <w:lang w:eastAsia="zh-CN"/>
        </w:rPr>
        <w:t>（</w:t>
      </w:r>
      <w:r>
        <w:rPr>
          <w:rFonts w:hint="eastAsia" w:ascii="楷体" w:hAnsi="楷体" w:eastAsia="楷体" w:cs="Calibri"/>
          <w:color w:val="auto"/>
          <w:sz w:val="21"/>
          <w:szCs w:val="21"/>
          <w:lang w:val="en-US" w:eastAsia="zh-CN"/>
        </w:rPr>
        <w:t>产品终止日）</w:t>
      </w:r>
      <w:r>
        <w:rPr>
          <w:rFonts w:hint="eastAsia" w:ascii="楷体" w:hAnsi="楷体" w:eastAsia="楷体" w:cs="Calibri"/>
          <w:color w:val="auto"/>
          <w:sz w:val="21"/>
          <w:szCs w:val="21"/>
        </w:rPr>
        <w:t>后5个工作日以内划至投资者指定账户，如遇</w:t>
      </w:r>
      <w:r>
        <w:rPr>
          <w:rFonts w:hint="eastAsia" w:ascii="楷体" w:hAnsi="楷体" w:eastAsia="楷体" w:cs="Calibri"/>
          <w:color w:val="auto"/>
          <w:sz w:val="21"/>
          <w:szCs w:val="21"/>
          <w:lang w:val="en-US" w:eastAsia="zh-CN"/>
        </w:rPr>
        <w:t>非工作日</w:t>
      </w:r>
      <w:r>
        <w:rPr>
          <w:rFonts w:hint="eastAsia" w:ascii="楷体" w:hAnsi="楷体" w:eastAsia="楷体" w:cs="Calibri"/>
          <w:color w:val="auto"/>
          <w:sz w:val="21"/>
          <w:szCs w:val="21"/>
        </w:rPr>
        <w:t>则相应顺延。</w:t>
      </w:r>
    </w:p>
    <w:p>
      <w:pPr>
        <w:keepNext w:val="0"/>
        <w:keepLines w:val="0"/>
        <w:pageBreakBefore w:val="0"/>
        <w:widowControl w:val="0"/>
        <w:numPr>
          <w:ilvl w:val="0"/>
          <w:numId w:val="2"/>
        </w:numPr>
        <w:tabs>
          <w:tab w:val="left" w:pos="1428"/>
          <w:tab w:val="clear" w:pos="0"/>
        </w:tabs>
        <w:kinsoku/>
        <w:wordWrap/>
        <w:overflowPunct/>
        <w:topLinePunct w:val="0"/>
        <w:autoSpaceDE/>
        <w:autoSpaceDN/>
        <w:bidi w:val="0"/>
        <w:adjustRightInd/>
        <w:snapToGrid/>
        <w:ind w:left="0" w:leftChars="0" w:firstLine="422" w:firstLineChars="200"/>
        <w:textAlignment w:val="auto"/>
        <w:outlineLvl w:val="1"/>
        <w:rPr>
          <w:rFonts w:hint="eastAsia" w:ascii="楷体" w:hAnsi="楷体" w:eastAsia="楷体"/>
          <w:b/>
          <w:sz w:val="21"/>
          <w:szCs w:val="21"/>
        </w:rPr>
      </w:pPr>
      <w:r>
        <w:rPr>
          <w:rFonts w:hint="eastAsia" w:ascii="楷体" w:hAnsi="楷体" w:eastAsia="楷体"/>
          <w:b/>
          <w:sz w:val="21"/>
          <w:szCs w:val="21"/>
          <w:lang w:val="en-US" w:eastAsia="zh-CN"/>
        </w:rPr>
        <w:t>情景示例</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以下示例均为假设情况，不代表本产品实际投资业绩。</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1.情景一</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投资者赎回/</w:t>
      </w:r>
      <w:r>
        <w:rPr>
          <w:rFonts w:hint="eastAsia" w:ascii="楷体" w:hAnsi="楷体" w:eastAsia="楷体"/>
          <w:color w:val="auto"/>
          <w:sz w:val="21"/>
          <w:szCs w:val="21"/>
        </w:rPr>
        <w:t>到期时，产品单位净值为</w:t>
      </w:r>
      <w:r>
        <w:rPr>
          <w:rFonts w:ascii="楷体" w:hAnsi="楷体" w:eastAsia="楷体"/>
          <w:color w:val="auto"/>
          <w:sz w:val="21"/>
          <w:szCs w:val="21"/>
        </w:rPr>
        <w:t>1.0</w:t>
      </w:r>
      <w:r>
        <w:rPr>
          <w:rFonts w:hint="eastAsia" w:ascii="楷体" w:hAnsi="楷体" w:eastAsia="楷体"/>
          <w:color w:val="auto"/>
          <w:sz w:val="21"/>
          <w:szCs w:val="21"/>
          <w:lang w:val="en-US" w:eastAsia="zh-CN"/>
        </w:rPr>
        <w:t>25503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w:t>
      </w:r>
      <w:r>
        <w:rPr>
          <w:rFonts w:ascii="楷体" w:hAnsi="楷体" w:eastAsia="楷体"/>
          <w:color w:val="auto"/>
          <w:sz w:val="21"/>
          <w:szCs w:val="21"/>
        </w:rPr>
        <w:t>1.0</w:t>
      </w:r>
      <w:r>
        <w:rPr>
          <w:rFonts w:hint="eastAsia" w:ascii="楷体" w:hAnsi="楷体" w:eastAsia="楷体"/>
          <w:color w:val="auto"/>
          <w:sz w:val="21"/>
          <w:szCs w:val="21"/>
          <w:lang w:val="en-US" w:eastAsia="zh-CN"/>
        </w:rPr>
        <w:t>25503</w:t>
      </w:r>
      <w:r>
        <w:rPr>
          <w:rFonts w:hint="eastAsia" w:ascii="楷体" w:hAnsi="楷体" w:eastAsia="楷体"/>
          <w:color w:val="auto"/>
          <w:sz w:val="21"/>
          <w:szCs w:val="21"/>
        </w:rPr>
        <w:t>=</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w:t>
      </w:r>
      <w:r>
        <w:rPr>
          <w:rFonts w:ascii="楷体" w:hAnsi="楷体" w:eastAsia="楷体"/>
          <w:color w:val="auto"/>
          <w:sz w:val="21"/>
          <w:szCs w:val="21"/>
        </w:rPr>
        <w:t>10</w:t>
      </w:r>
      <w:r>
        <w:rPr>
          <w:rFonts w:hint="eastAsia" w:ascii="楷体" w:hAnsi="楷体" w:eastAsia="楷体"/>
          <w:color w:val="auto"/>
          <w:sz w:val="21"/>
          <w:szCs w:val="21"/>
        </w:rPr>
        <w:t>,</w:t>
      </w:r>
      <w:r>
        <w:rPr>
          <w:rFonts w:hint="eastAsia" w:ascii="楷体" w:hAnsi="楷体" w:eastAsia="楷体"/>
          <w:color w:val="auto"/>
          <w:sz w:val="21"/>
          <w:szCs w:val="21"/>
          <w:lang w:val="en-US" w:eastAsia="zh-CN"/>
        </w:rPr>
        <w:t>255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-10,000.00=</w:t>
      </w:r>
      <w:r>
        <w:rPr>
          <w:rFonts w:hint="eastAsia" w:ascii="楷体" w:hAnsi="楷体" w:eastAsia="楷体"/>
          <w:color w:val="auto"/>
          <w:sz w:val="21"/>
          <w:szCs w:val="21"/>
          <w:lang w:val="en-US" w:eastAsia="zh-CN"/>
        </w:rPr>
        <w:t>255</w:t>
      </w:r>
      <w:r>
        <w:rPr>
          <w:rFonts w:ascii="楷体" w:hAnsi="楷体" w:eastAsia="楷体"/>
          <w:color w:val="auto"/>
          <w:sz w:val="21"/>
          <w:szCs w:val="21"/>
        </w:rPr>
        <w:t>.</w:t>
      </w:r>
      <w:r>
        <w:rPr>
          <w:rFonts w:hint="eastAsia" w:ascii="楷体" w:hAnsi="楷体" w:eastAsia="楷体"/>
          <w:color w:val="auto"/>
          <w:sz w:val="21"/>
          <w:szCs w:val="21"/>
          <w:lang w:val="en-US" w:eastAsia="zh-CN"/>
        </w:rPr>
        <w:t>03</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2.情景二</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假定投资者</w:t>
      </w:r>
      <w:r>
        <w:rPr>
          <w:rFonts w:hint="eastAsia" w:ascii="楷体" w:hAnsi="楷体" w:eastAsia="楷体"/>
          <w:color w:val="auto"/>
          <w:sz w:val="21"/>
          <w:szCs w:val="21"/>
          <w:lang w:val="en-US" w:eastAsia="zh-CN"/>
        </w:rPr>
        <w:t>购买</w:t>
      </w:r>
      <w:r>
        <w:rPr>
          <w:rFonts w:hint="eastAsia" w:ascii="楷体" w:hAnsi="楷体" w:eastAsia="楷体"/>
          <w:color w:val="auto"/>
          <w:sz w:val="21"/>
          <w:szCs w:val="21"/>
        </w:rPr>
        <w:t>本产品，投资金额为10,000.00元，</w:t>
      </w:r>
      <w:r>
        <w:rPr>
          <w:rFonts w:hint="eastAsia" w:ascii="楷体" w:hAnsi="楷体" w:eastAsia="楷体"/>
          <w:color w:val="auto"/>
          <w:sz w:val="21"/>
          <w:szCs w:val="21"/>
          <w:lang w:val="en-US" w:eastAsia="zh-CN"/>
        </w:rPr>
        <w:t>产品单位净值</w:t>
      </w:r>
      <w:r>
        <w:rPr>
          <w:rFonts w:hint="eastAsia" w:ascii="楷体" w:hAnsi="楷体" w:eastAsia="楷体"/>
          <w:color w:val="auto"/>
          <w:sz w:val="21"/>
          <w:szCs w:val="21"/>
        </w:rPr>
        <w:t>为1元</w:t>
      </w:r>
      <w:r>
        <w:rPr>
          <w:rFonts w:hint="eastAsia" w:ascii="楷体" w:hAnsi="楷体" w:eastAsia="楷体"/>
          <w:color w:val="auto"/>
          <w:sz w:val="21"/>
          <w:szCs w:val="21"/>
          <w:lang w:val="en-US" w:eastAsia="zh-CN"/>
        </w:rPr>
        <w:t>/份</w:t>
      </w:r>
      <w:r>
        <w:rPr>
          <w:rFonts w:hint="eastAsia" w:ascii="楷体" w:hAnsi="楷体" w:eastAsia="楷体"/>
          <w:color w:val="auto"/>
          <w:sz w:val="21"/>
          <w:szCs w:val="21"/>
        </w:rPr>
        <w:t>，折算份额为10,000.00份。</w:t>
      </w:r>
      <w:r>
        <w:rPr>
          <w:rFonts w:hint="eastAsia" w:ascii="楷体" w:hAnsi="楷体" w:eastAsia="楷体"/>
          <w:color w:val="auto"/>
          <w:sz w:val="21"/>
          <w:szCs w:val="21"/>
          <w:lang w:val="en-US" w:eastAsia="zh-CN"/>
        </w:rPr>
        <w:t>投资者赎回/</w:t>
      </w:r>
      <w:r>
        <w:rPr>
          <w:rFonts w:hint="eastAsia" w:ascii="楷体" w:hAnsi="楷体" w:eastAsia="楷体"/>
          <w:color w:val="auto"/>
          <w:sz w:val="21"/>
          <w:szCs w:val="21"/>
        </w:rPr>
        <w:t>到期时，产品单位净值为</w:t>
      </w:r>
      <w:r>
        <w:rPr>
          <w:rFonts w:ascii="楷体" w:hAnsi="楷体" w:eastAsia="楷体"/>
          <w:color w:val="auto"/>
          <w:sz w:val="21"/>
          <w:szCs w:val="21"/>
        </w:rPr>
        <w:t>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投资者可得资金=10,000.00×0.9975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（元）</w:t>
      </w:r>
    </w:p>
    <w:p>
      <w:pPr>
        <w:ind w:firstLine="420" w:firstLineChars="200"/>
        <w:rPr>
          <w:rFonts w:hint="eastAsia" w:ascii="楷体" w:hAnsi="楷体" w:eastAsia="楷体"/>
          <w:color w:val="auto"/>
          <w:sz w:val="21"/>
          <w:szCs w:val="21"/>
        </w:rPr>
      </w:pPr>
      <w:r>
        <w:rPr>
          <w:rFonts w:hint="eastAsia" w:ascii="楷体" w:hAnsi="楷体" w:eastAsia="楷体"/>
          <w:color w:val="auto"/>
          <w:sz w:val="21"/>
          <w:szCs w:val="21"/>
        </w:rPr>
        <w:t>投资者投资收益=9,975.</w:t>
      </w:r>
      <w:r>
        <w:rPr>
          <w:rFonts w:hint="eastAsia" w:ascii="楷体" w:hAnsi="楷体" w:eastAsia="楷体"/>
          <w:color w:val="auto"/>
          <w:sz w:val="21"/>
          <w:szCs w:val="21"/>
          <w:lang w:val="en-US" w:eastAsia="zh-CN"/>
        </w:rPr>
        <w:t>94</w:t>
      </w:r>
      <w:r>
        <w:rPr>
          <w:rFonts w:hint="eastAsia" w:ascii="楷体" w:hAnsi="楷体" w:eastAsia="楷体"/>
          <w:color w:val="auto"/>
          <w:sz w:val="21"/>
          <w:szCs w:val="21"/>
        </w:rPr>
        <w:t>-10,000.00=-</w:t>
      </w:r>
      <w:r>
        <w:rPr>
          <w:rFonts w:ascii="楷体" w:hAnsi="楷体" w:eastAsia="楷体"/>
          <w:color w:val="auto"/>
          <w:sz w:val="21"/>
          <w:szCs w:val="21"/>
        </w:rPr>
        <w:t>2</w:t>
      </w:r>
      <w:r>
        <w:rPr>
          <w:rFonts w:hint="eastAsia" w:ascii="楷体" w:hAnsi="楷体" w:eastAsia="楷体"/>
          <w:color w:val="auto"/>
          <w:sz w:val="21"/>
          <w:szCs w:val="21"/>
          <w:lang w:val="en-US" w:eastAsia="zh-CN"/>
        </w:rPr>
        <w:t>4</w:t>
      </w:r>
      <w:r>
        <w:rPr>
          <w:rFonts w:hint="eastAsia" w:ascii="楷体" w:hAnsi="楷体" w:eastAsia="楷体"/>
          <w:color w:val="auto"/>
          <w:sz w:val="21"/>
          <w:szCs w:val="21"/>
        </w:rPr>
        <w:t>.</w:t>
      </w:r>
      <w:r>
        <w:rPr>
          <w:rFonts w:ascii="楷体" w:hAnsi="楷体" w:eastAsia="楷体"/>
          <w:color w:val="auto"/>
          <w:sz w:val="21"/>
          <w:szCs w:val="21"/>
        </w:rPr>
        <w:t>0</w:t>
      </w:r>
      <w:r>
        <w:rPr>
          <w:rFonts w:hint="eastAsia" w:ascii="楷体" w:hAnsi="楷体" w:eastAsia="楷体"/>
          <w:color w:val="auto"/>
          <w:sz w:val="21"/>
          <w:szCs w:val="21"/>
          <w:lang w:val="en-US" w:eastAsia="zh-CN"/>
        </w:rPr>
        <w:t>6</w:t>
      </w:r>
      <w:r>
        <w:rPr>
          <w:rFonts w:hint="eastAsia" w:ascii="楷体" w:hAnsi="楷体" w:eastAsia="楷体"/>
          <w:color w:val="auto"/>
          <w:sz w:val="21"/>
          <w:szCs w:val="21"/>
        </w:rPr>
        <w:t>（元）</w:t>
      </w:r>
    </w:p>
    <w:p>
      <w:pPr>
        <w:ind w:firstLine="422" w:firstLineChars="200"/>
        <w:rPr>
          <w:rFonts w:hint="eastAsia" w:ascii="楷体" w:hAnsi="楷体" w:eastAsia="楷体"/>
          <w:b/>
          <w:color w:val="auto"/>
          <w:sz w:val="21"/>
          <w:szCs w:val="21"/>
          <w:u w:val="single"/>
        </w:rPr>
      </w:pPr>
      <w:r>
        <w:rPr>
          <w:rFonts w:hint="eastAsia" w:ascii="楷体" w:hAnsi="楷体" w:eastAsia="楷体"/>
          <w:b/>
          <w:color w:val="auto"/>
          <w:sz w:val="21"/>
          <w:szCs w:val="21"/>
          <w:u w:val="single"/>
        </w:rPr>
        <w:t>最不利的情形下，投资者可能损失100%本金。</w:t>
      </w:r>
    </w:p>
    <w:p>
      <w:pPr>
        <w:ind w:left="0" w:leftChars="0" w:firstLine="422" w:firstLineChars="200"/>
      </w:pPr>
      <w:r>
        <w:rPr>
          <w:rFonts w:hint="eastAsia" w:ascii="楷体" w:hAnsi="楷体" w:eastAsia="楷体"/>
          <w:b/>
          <w:color w:val="auto"/>
          <w:sz w:val="21"/>
          <w:szCs w:val="21"/>
          <w:u w:val="single"/>
        </w:rPr>
        <w:t>上述情况假设仅用于向投资者示例收益计算方法之用，并不代表管理人对实际投资情况的预期判断，</w:t>
      </w:r>
      <w:r>
        <w:rPr>
          <w:rFonts w:hint="eastAsia" w:ascii="楷体" w:hAnsi="楷体" w:eastAsia="楷体"/>
          <w:b/>
          <w:color w:val="auto"/>
          <w:sz w:val="21"/>
          <w:szCs w:val="21"/>
          <w:u w:val="single"/>
          <w:lang w:val="en-US" w:eastAsia="zh-CN"/>
        </w:rPr>
        <w:t>也不代表</w:t>
      </w:r>
      <w:r>
        <w:rPr>
          <w:rFonts w:hint="eastAsia" w:ascii="楷体" w:hAnsi="楷体" w:eastAsia="楷体"/>
          <w:b/>
          <w:color w:val="auto"/>
          <w:sz w:val="21"/>
          <w:szCs w:val="21"/>
          <w:u w:val="single"/>
        </w:rPr>
        <w:t>以上所有情形或某一情形一定会发生，或管理人认为发生的可能性很大。投资者获得的最终收益以产品实际运作表现及管理人实际支付为准。</w:t>
      </w:r>
    </w:p>
    <w:p>
      <w:pPr>
        <w:keepNext w:val="0"/>
        <w:keepLines w:val="0"/>
        <w:pageBreakBefore w:val="0"/>
        <w:widowControl w:val="0"/>
        <w:numPr>
          <w:ilvl w:val="0"/>
          <w:numId w:val="2"/>
        </w:numPr>
        <w:tabs>
          <w:tab w:val="left" w:pos="1428"/>
          <w:tab w:val="clear" w:pos="0"/>
        </w:tabs>
        <w:kinsoku/>
        <w:wordWrap/>
        <w:overflowPunct/>
        <w:topLinePunct w:val="0"/>
        <w:autoSpaceDE/>
        <w:autoSpaceDN/>
        <w:bidi w:val="0"/>
        <w:adjustRightInd/>
        <w:snapToGrid/>
        <w:ind w:left="0" w:leftChars="0" w:firstLine="422" w:firstLineChars="200"/>
        <w:textAlignment w:val="auto"/>
        <w:outlineLvl w:val="1"/>
        <w:rPr>
          <w:rFonts w:ascii="楷体" w:hAnsi="楷体" w:eastAsia="楷体" w:cs="Calibri"/>
          <w:b w:val="0"/>
          <w:bCs/>
          <w:sz w:val="21"/>
          <w:szCs w:val="21"/>
        </w:rPr>
      </w:pPr>
      <w:r>
        <w:rPr>
          <w:rFonts w:hint="eastAsia" w:ascii="楷体" w:hAnsi="楷体" w:eastAsia="楷体"/>
          <w:b/>
          <w:sz w:val="21"/>
          <w:szCs w:val="21"/>
        </w:rPr>
        <w:t>产品费用</w:t>
      </w:r>
    </w:p>
    <w:p>
      <w:pPr>
        <w:ind w:firstLine="420" w:firstLineChars="200"/>
        <w:rPr>
          <w:rFonts w:hint="default" w:ascii="楷体" w:hAnsi="楷体" w:eastAsia="楷体" w:cs="Calibri"/>
          <w:b w:val="0"/>
          <w:bCs/>
          <w:sz w:val="21"/>
          <w:szCs w:val="21"/>
          <w:lang w:val="en-US" w:eastAsia="zh-CN"/>
        </w:rPr>
      </w:pPr>
      <w:r>
        <w:rPr>
          <w:rFonts w:hint="eastAsia" w:ascii="楷体" w:hAnsi="楷体" w:eastAsia="楷体"/>
          <w:b w:val="0"/>
          <w:bCs/>
          <w:sz w:val="21"/>
          <w:szCs w:val="21"/>
        </w:rPr>
        <w:t>本产品费用包括托管费、销售服务费、投资管理费、超额业绩报酬（如有）以及产品运作和清算中产生的其他费用等。</w:t>
      </w:r>
      <w:r>
        <w:rPr>
          <w:rFonts w:hint="eastAsia" w:ascii="楷体" w:hAnsi="楷体" w:eastAsia="楷体" w:cs="Calibri"/>
          <w:b w:val="0"/>
          <w:bCs/>
          <w:sz w:val="21"/>
          <w:szCs w:val="21"/>
        </w:rPr>
        <w:t>计提方法</w:t>
      </w:r>
      <w:r>
        <w:rPr>
          <w:rFonts w:hint="eastAsia" w:ascii="楷体" w:hAnsi="楷体" w:eastAsia="楷体" w:cs="Calibri"/>
          <w:b w:val="0"/>
          <w:bCs/>
          <w:sz w:val="21"/>
          <w:szCs w:val="21"/>
          <w:lang w:val="en-US" w:eastAsia="zh-CN"/>
        </w:rPr>
        <w:t>如下：</w:t>
      </w:r>
    </w:p>
    <w:p>
      <w:pPr>
        <w:keepNext w:val="0"/>
        <w:keepLines w:val="0"/>
        <w:pageBreakBefore w:val="0"/>
        <w:widowControl w:val="0"/>
        <w:numPr>
          <w:ilvl w:val="0"/>
          <w:numId w:val="13"/>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sz w:val="21"/>
          <w:szCs w:val="21"/>
          <w:highlight w:val="none"/>
        </w:rPr>
      </w:pPr>
      <w:r>
        <w:rPr>
          <w:rFonts w:hint="eastAsia" w:ascii="楷体" w:hAnsi="楷体" w:eastAsia="楷体" w:cs="Calibri"/>
          <w:color w:val="auto"/>
          <w:sz w:val="21"/>
          <w:szCs w:val="21"/>
          <w:highlight w:val="none"/>
        </w:rPr>
        <w:t>托管费：每日计提，</w:t>
      </w:r>
      <w:r>
        <w:rPr>
          <w:rFonts w:hint="eastAsia" w:ascii="楷体" w:hAnsi="楷体" w:eastAsia="楷体"/>
          <w:sz w:val="21"/>
          <w:szCs w:val="21"/>
          <w:highlight w:val="none"/>
        </w:rPr>
        <w:t>每日应计提的托管费＝前一日的产品资产净值×托管费率÷</w:t>
      </w:r>
      <w:r>
        <w:rPr>
          <w:rFonts w:ascii="楷体" w:hAnsi="楷体" w:eastAsia="楷体"/>
          <w:sz w:val="21"/>
          <w:szCs w:val="21"/>
          <w:highlight w:val="none"/>
        </w:rPr>
        <w:t>365</w:t>
      </w:r>
    </w:p>
    <w:p>
      <w:pPr>
        <w:keepNext w:val="0"/>
        <w:keepLines w:val="0"/>
        <w:pageBreakBefore w:val="0"/>
        <w:widowControl w:val="0"/>
        <w:numPr>
          <w:ilvl w:val="0"/>
          <w:numId w:val="13"/>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ascii="楷体" w:hAnsi="楷体" w:eastAsia="楷体"/>
          <w:sz w:val="21"/>
          <w:szCs w:val="21"/>
          <w:highlight w:val="none"/>
        </w:rPr>
      </w:pPr>
      <w:r>
        <w:rPr>
          <w:rFonts w:hint="eastAsia" w:ascii="楷体" w:hAnsi="楷体" w:eastAsia="楷体" w:cs="Calibri"/>
          <w:color w:val="auto"/>
          <w:sz w:val="21"/>
          <w:szCs w:val="21"/>
          <w:highlight w:val="none"/>
        </w:rPr>
        <w:t>销售服务费：每日计提</w:t>
      </w:r>
      <w:r>
        <w:rPr>
          <w:rFonts w:hint="eastAsia" w:ascii="楷体" w:hAnsi="楷体" w:eastAsia="楷体" w:cs="Calibri"/>
          <w:color w:val="auto"/>
          <w:sz w:val="21"/>
          <w:szCs w:val="21"/>
          <w:highlight w:val="none"/>
          <w:lang w:eastAsia="zh-CN"/>
        </w:rPr>
        <w:t>，</w:t>
      </w:r>
      <w:r>
        <w:rPr>
          <w:rFonts w:hint="eastAsia" w:ascii="楷体" w:hAnsi="楷体" w:eastAsia="楷体"/>
          <w:sz w:val="21"/>
          <w:szCs w:val="21"/>
          <w:highlight w:val="none"/>
        </w:rPr>
        <w:t>每日应计提的销售服务费＝前一日的产品资产净值×销售服务费率÷</w:t>
      </w:r>
      <w:r>
        <w:rPr>
          <w:rFonts w:ascii="楷体" w:hAnsi="楷体" w:eastAsia="楷体"/>
          <w:sz w:val="21"/>
          <w:szCs w:val="21"/>
          <w:highlight w:val="none"/>
        </w:rPr>
        <w:t>365</w:t>
      </w:r>
    </w:p>
    <w:p>
      <w:pPr>
        <w:keepNext w:val="0"/>
        <w:keepLines w:val="0"/>
        <w:pageBreakBefore w:val="0"/>
        <w:widowControl w:val="0"/>
        <w:numPr>
          <w:ilvl w:val="0"/>
          <w:numId w:val="13"/>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投资管理费：每日计提，每日应计提的投资管理费＝前一日的产品资产净值×投资管理费率÷365</w:t>
      </w:r>
    </w:p>
    <w:p>
      <w:pPr>
        <w:keepNext w:val="0"/>
        <w:keepLines w:val="0"/>
        <w:pageBreakBefore w:val="0"/>
        <w:widowControl w:val="0"/>
        <w:numPr>
          <w:ilvl w:val="0"/>
          <w:numId w:val="13"/>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超额业绩报酬</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lang w:val="en-US" w:eastAsia="zh-CN"/>
        </w:rPr>
        <w:t>如有）</w:t>
      </w:r>
      <w:r>
        <w:rPr>
          <w:rFonts w:hint="eastAsia" w:ascii="楷体" w:hAnsi="楷体" w:eastAsia="楷体" w:cs="Calibri"/>
          <w:color w:val="auto"/>
          <w:sz w:val="21"/>
          <w:szCs w:val="21"/>
          <w:highlight w:val="none"/>
        </w:rPr>
        <w:t>：管理人按投资周期收取超额业绩报酬</w:t>
      </w:r>
      <w:r>
        <w:rPr>
          <w:rFonts w:hint="eastAsia" w:ascii="楷体" w:hAnsi="楷体" w:eastAsia="楷体" w:cs="Calibri"/>
          <w:color w:val="auto"/>
          <w:sz w:val="21"/>
          <w:szCs w:val="21"/>
          <w:highlight w:val="none"/>
          <w:lang w:eastAsia="zh-CN"/>
        </w:rPr>
        <w:t>，</w:t>
      </w:r>
      <w:r>
        <w:rPr>
          <w:rFonts w:hint="eastAsia" w:ascii="楷体" w:hAnsi="楷体" w:eastAsia="楷体" w:cs="Calibri"/>
          <w:color w:val="auto"/>
          <w:sz w:val="21"/>
          <w:szCs w:val="21"/>
          <w:highlight w:val="none"/>
          <w:lang w:val="en-US" w:eastAsia="zh-CN"/>
        </w:rPr>
        <w:t>超额业绩报酬计算详见“产品要素”。</w:t>
      </w:r>
    </w:p>
    <w:p>
      <w:pPr>
        <w:keepNext w:val="0"/>
        <w:keepLines w:val="0"/>
        <w:pageBreakBefore w:val="0"/>
        <w:widowControl w:val="0"/>
        <w:numPr>
          <w:ilvl w:val="0"/>
          <w:numId w:val="13"/>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产品运作和清算中产生的交易手续费、注册登记费、账户服务费、审计费、及其他应由本产品承担的费用从产品中列支。</w:t>
      </w:r>
    </w:p>
    <w:p>
      <w:pPr>
        <w:keepNext w:val="0"/>
        <w:keepLines w:val="0"/>
        <w:pageBreakBefore w:val="0"/>
        <w:widowControl w:val="0"/>
        <w:numPr>
          <w:ilvl w:val="0"/>
          <w:numId w:val="13"/>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rPr>
        <w:t>本产品不收取认购费用、申购费用、赎回费用。</w:t>
      </w:r>
    </w:p>
    <w:p>
      <w:pPr>
        <w:keepNext w:val="0"/>
        <w:keepLines w:val="0"/>
        <w:pageBreakBefore w:val="0"/>
        <w:widowControl w:val="0"/>
        <w:numPr>
          <w:ilvl w:val="0"/>
          <w:numId w:val="13"/>
        </w:numPr>
        <w:tabs>
          <w:tab w:val="left" w:pos="728"/>
          <w:tab w:val="clear" w:pos="420"/>
        </w:tabs>
        <w:kinsoku/>
        <w:wordWrap/>
        <w:overflowPunct/>
        <w:topLinePunct w:val="0"/>
        <w:autoSpaceDE/>
        <w:autoSpaceDN/>
        <w:bidi w:val="0"/>
        <w:adjustRightInd/>
        <w:snapToGrid/>
        <w:ind w:left="0" w:leftChars="0" w:firstLine="420" w:firstLineChars="200"/>
        <w:textAlignment w:val="auto"/>
        <w:rPr>
          <w:rFonts w:hint="eastAsia" w:ascii="楷体" w:hAnsi="楷体" w:eastAsia="楷体" w:cs="Calibri"/>
          <w:color w:val="auto"/>
          <w:sz w:val="21"/>
          <w:szCs w:val="21"/>
          <w:highlight w:val="none"/>
        </w:rPr>
      </w:pPr>
      <w:r>
        <w:rPr>
          <w:rFonts w:hint="eastAsia" w:ascii="楷体" w:hAnsi="楷体" w:eastAsia="楷体" w:cs="Calibri"/>
          <w:color w:val="auto"/>
          <w:sz w:val="21"/>
          <w:szCs w:val="21"/>
          <w:highlight w:val="none"/>
          <w:lang w:val="en-US" w:eastAsia="zh-CN"/>
        </w:rPr>
        <w:t>费用计算</w:t>
      </w:r>
      <w:r>
        <w:rPr>
          <w:rFonts w:hint="eastAsia" w:ascii="楷体" w:hAnsi="楷体" w:eastAsia="楷体" w:cs="Calibri"/>
          <w:color w:val="auto"/>
          <w:sz w:val="21"/>
          <w:szCs w:val="21"/>
          <w:highlight w:val="none"/>
        </w:rPr>
        <w:t>四舍五入保留至小数点后两位</w:t>
      </w:r>
      <w:r>
        <w:rPr>
          <w:rFonts w:hint="eastAsia" w:ascii="楷体" w:hAnsi="楷体" w:eastAsia="楷体" w:cs="Calibri"/>
          <w:color w:val="auto"/>
          <w:sz w:val="21"/>
          <w:szCs w:val="21"/>
          <w:highlight w:val="none"/>
          <w:lang w:eastAsia="zh-CN"/>
        </w:rPr>
        <w:t>。</w:t>
      </w:r>
    </w:p>
    <w:p>
      <w:pPr>
        <w:ind w:firstLine="420" w:firstLineChars="200"/>
        <w:rPr>
          <w:rFonts w:hint="default" w:eastAsia="楷体"/>
          <w:sz w:val="21"/>
          <w:szCs w:val="21"/>
          <w:lang w:val="en-US" w:eastAsia="zh-CN"/>
        </w:rPr>
      </w:pPr>
      <w:r>
        <w:rPr>
          <w:rFonts w:hint="eastAsia" w:ascii="楷体" w:hAnsi="楷体" w:eastAsia="楷体"/>
          <w:sz w:val="21"/>
          <w:szCs w:val="21"/>
        </w:rPr>
        <w:t>产品管理人有权根据市场情况等调整上述各项费用费率和超额业绩报酬收取方式及比例，产品管理人将于调整事项生效前2个工作日通过短信及苏银理财有限责任公司官方网站（www.suyinwealth.com）、销售机构电子渠道和营业网点等方式进行信息披露。如投资者不接受的，可在公告约定的期限内赎回本产品，此种情况下产品管理人可能开放赎回，具体以届时产品管理人公告为准。若本理财产品的投资者不接受上述调整，可及时通过销售机构赎回本产品；若本理财产品投资者未在约定的时间内赎回本产品，则视为本理财产品投资者接受相关调整且同意继续持有本理财产品。</w:t>
      </w:r>
    </w:p>
    <w:p>
      <w:pPr>
        <w:keepNext w:val="0"/>
        <w:keepLines w:val="0"/>
        <w:pageBreakBefore w:val="0"/>
        <w:widowControl w:val="0"/>
        <w:numPr>
          <w:ilvl w:val="0"/>
          <w:numId w:val="2"/>
        </w:numPr>
        <w:tabs>
          <w:tab w:val="left" w:pos="1428"/>
          <w:tab w:val="clear" w:pos="0"/>
        </w:tabs>
        <w:kinsoku/>
        <w:wordWrap/>
        <w:overflowPunct/>
        <w:topLinePunct w:val="0"/>
        <w:autoSpaceDE/>
        <w:autoSpaceDN/>
        <w:bidi w:val="0"/>
        <w:adjustRightInd/>
        <w:snapToGrid/>
        <w:ind w:left="0" w:leftChars="0" w:firstLine="422" w:firstLineChars="200"/>
        <w:textAlignment w:val="auto"/>
        <w:outlineLvl w:val="1"/>
        <w:rPr>
          <w:rFonts w:ascii="楷体" w:hAnsi="楷体" w:eastAsia="楷体"/>
          <w:b/>
          <w:sz w:val="21"/>
          <w:szCs w:val="21"/>
        </w:rPr>
      </w:pPr>
      <w:r>
        <w:rPr>
          <w:rFonts w:hint="eastAsia" w:ascii="楷体" w:hAnsi="楷体" w:eastAsia="楷体"/>
          <w:b/>
          <w:sz w:val="21"/>
          <w:szCs w:val="21"/>
        </w:rPr>
        <w:t>产品估值</w:t>
      </w:r>
    </w:p>
    <w:p>
      <w:pPr>
        <w:keepNext w:val="0"/>
        <w:keepLines w:val="0"/>
        <w:pageBreakBefore w:val="0"/>
        <w:widowControl w:val="0"/>
        <w:numPr>
          <w:ilvl w:val="0"/>
          <w:numId w:val="14"/>
        </w:numPr>
        <w:tabs>
          <w:tab w:val="left" w:pos="993"/>
        </w:tabs>
        <w:kinsoku/>
        <w:wordWrap/>
        <w:overflowPunct/>
        <w:topLinePunct w:val="0"/>
        <w:bidi w:val="0"/>
        <w:snapToGrid/>
        <w:ind w:left="0" w:firstLine="420" w:firstLineChars="200"/>
        <w:textAlignment w:val="auto"/>
        <w:outlineLvl w:val="2"/>
        <w:rPr>
          <w:rFonts w:hint="eastAsia" w:ascii="楷体" w:hAnsi="楷体" w:eastAsia="楷体" w:cs="Calibri"/>
          <w:b w:val="0"/>
          <w:bCs/>
          <w:sz w:val="21"/>
          <w:szCs w:val="21"/>
        </w:rPr>
      </w:pPr>
      <w:r>
        <w:rPr>
          <w:rFonts w:hint="eastAsia" w:ascii="楷体" w:hAnsi="楷体" w:eastAsia="楷体" w:cs="Calibri"/>
          <w:b w:val="0"/>
          <w:bCs/>
          <w:sz w:val="21"/>
          <w:szCs w:val="21"/>
        </w:rPr>
        <w:t>估值对象</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本产品所拥有的各类证券、银行存款、应收款项及其它资产及负债。</w:t>
      </w:r>
    </w:p>
    <w:p>
      <w:pPr>
        <w:keepNext w:val="0"/>
        <w:keepLines w:val="0"/>
        <w:pageBreakBefore w:val="0"/>
        <w:widowControl w:val="0"/>
        <w:numPr>
          <w:ilvl w:val="0"/>
          <w:numId w:val="14"/>
        </w:numPr>
        <w:tabs>
          <w:tab w:val="left" w:pos="993"/>
        </w:tabs>
        <w:kinsoku/>
        <w:wordWrap/>
        <w:overflowPunct/>
        <w:topLinePunct w:val="0"/>
        <w:bidi w:val="0"/>
        <w:snapToGrid/>
        <w:ind w:left="0" w:firstLine="420" w:firstLineChars="200"/>
        <w:textAlignment w:val="auto"/>
        <w:outlineLvl w:val="2"/>
        <w:rPr>
          <w:rFonts w:ascii="楷体" w:hAnsi="楷体" w:eastAsia="楷体" w:cs="Calibri"/>
          <w:b w:val="0"/>
          <w:bCs/>
          <w:sz w:val="21"/>
          <w:szCs w:val="21"/>
        </w:rPr>
      </w:pPr>
      <w:r>
        <w:rPr>
          <w:rFonts w:hint="eastAsia" w:ascii="楷体" w:hAnsi="楷体" w:eastAsia="楷体" w:cs="Calibri"/>
          <w:b w:val="0"/>
          <w:bCs/>
          <w:sz w:val="21"/>
          <w:szCs w:val="21"/>
        </w:rPr>
        <w:t>估值要求</w:t>
      </w:r>
    </w:p>
    <w:p>
      <w:pPr>
        <w:keepNext w:val="0"/>
        <w:keepLines w:val="0"/>
        <w:pageBreakBefore w:val="0"/>
        <w:widowControl w:val="0"/>
        <w:numPr>
          <w:ilvl w:val="0"/>
          <w:numId w:val="15"/>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b w:val="0"/>
          <w:bCs w:val="0"/>
          <w:color w:val="auto"/>
          <w:sz w:val="21"/>
          <w:szCs w:val="21"/>
        </w:rPr>
        <w:t>本产品资产估值的目的是客观、准确</w:t>
      </w:r>
      <w:r>
        <w:rPr>
          <w:rFonts w:hint="eastAsia" w:ascii="楷体" w:hAnsi="楷体" w:eastAsia="楷体" w:cs="Calibri"/>
          <w:b w:val="0"/>
          <w:bCs w:val="0"/>
          <w:color w:val="auto"/>
          <w:sz w:val="21"/>
          <w:szCs w:val="21"/>
          <w:lang w:val="en-US" w:eastAsia="zh-CN"/>
        </w:rPr>
        <w:t>地</w:t>
      </w:r>
      <w:r>
        <w:rPr>
          <w:rFonts w:hint="eastAsia" w:ascii="楷体" w:hAnsi="楷体" w:eastAsia="楷体" w:cs="Calibri"/>
          <w:b w:val="0"/>
          <w:bCs w:val="0"/>
          <w:color w:val="auto"/>
          <w:sz w:val="21"/>
          <w:szCs w:val="21"/>
        </w:rPr>
        <w:t>反映资产净值，确定理财产品资产净值，并为理财产品的兑付提供计价依据</w:t>
      </w:r>
      <w:r>
        <w:rPr>
          <w:rFonts w:hint="eastAsia" w:ascii="楷体" w:hAnsi="楷体" w:eastAsia="楷体" w:cs="Calibri"/>
          <w:sz w:val="21"/>
          <w:szCs w:val="21"/>
        </w:rPr>
        <w:t>。</w:t>
      </w:r>
    </w:p>
    <w:p>
      <w:pPr>
        <w:keepNext w:val="0"/>
        <w:keepLines w:val="0"/>
        <w:pageBreakBefore w:val="0"/>
        <w:widowControl w:val="0"/>
        <w:numPr>
          <w:ilvl w:val="0"/>
          <w:numId w:val="15"/>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本产品单位净值精确到小数点后</w:t>
      </w:r>
      <w:r>
        <w:rPr>
          <w:rFonts w:hint="eastAsia" w:ascii="楷体" w:hAnsi="楷体" w:eastAsia="楷体" w:cs="Calibri"/>
          <w:sz w:val="21"/>
          <w:szCs w:val="21"/>
          <w:highlight w:val="none"/>
          <w:lang w:val="en-US" w:eastAsia="zh-CN"/>
        </w:rPr>
        <w:t>6</w:t>
      </w:r>
      <w:r>
        <w:rPr>
          <w:rFonts w:hint="eastAsia" w:ascii="楷体" w:hAnsi="楷体" w:eastAsia="楷体" w:cs="Calibri"/>
          <w:sz w:val="21"/>
          <w:szCs w:val="21"/>
          <w:highlight w:val="none"/>
        </w:rPr>
        <w:t>位，小数点</w:t>
      </w:r>
      <w:r>
        <w:rPr>
          <w:rFonts w:hint="eastAsia" w:ascii="楷体" w:hAnsi="楷体" w:eastAsia="楷体" w:cs="Calibri"/>
          <w:sz w:val="21"/>
          <w:szCs w:val="21"/>
          <w:highlight w:val="none"/>
          <w:lang w:val="en-US" w:eastAsia="zh-CN"/>
        </w:rPr>
        <w:t>6</w:t>
      </w:r>
      <w:r>
        <w:rPr>
          <w:rFonts w:hint="eastAsia" w:ascii="楷体" w:hAnsi="楷体" w:eastAsia="楷体" w:cs="Calibri"/>
          <w:sz w:val="21"/>
          <w:szCs w:val="21"/>
          <w:highlight w:val="none"/>
        </w:rPr>
        <w:t>位后</w:t>
      </w:r>
      <w:r>
        <w:rPr>
          <w:rFonts w:hint="eastAsia" w:ascii="楷体" w:hAnsi="楷体" w:eastAsia="楷体" w:cs="Calibri"/>
          <w:sz w:val="21"/>
          <w:szCs w:val="21"/>
        </w:rPr>
        <w:t>截位。</w:t>
      </w:r>
    </w:p>
    <w:p>
      <w:pPr>
        <w:keepNext w:val="0"/>
        <w:keepLines w:val="0"/>
        <w:pageBreakBefore w:val="0"/>
        <w:widowControl w:val="0"/>
        <w:numPr>
          <w:ilvl w:val="0"/>
          <w:numId w:val="14"/>
        </w:numPr>
        <w:tabs>
          <w:tab w:val="left" w:pos="993"/>
        </w:tabs>
        <w:kinsoku/>
        <w:wordWrap/>
        <w:overflowPunct/>
        <w:topLinePunct w:val="0"/>
        <w:bidi w:val="0"/>
        <w:snapToGrid/>
        <w:ind w:left="0" w:firstLine="420" w:firstLineChars="200"/>
        <w:textAlignment w:val="auto"/>
        <w:outlineLvl w:val="2"/>
        <w:rPr>
          <w:rFonts w:ascii="楷体" w:hAnsi="楷体" w:eastAsia="楷体" w:cs="Calibri"/>
          <w:b w:val="0"/>
          <w:bCs/>
          <w:sz w:val="21"/>
          <w:szCs w:val="21"/>
          <w:highlight w:val="none"/>
        </w:rPr>
      </w:pPr>
      <w:r>
        <w:rPr>
          <w:rFonts w:hint="eastAsia" w:ascii="楷体" w:hAnsi="楷体" w:eastAsia="楷体" w:cs="Calibri"/>
          <w:b w:val="0"/>
          <w:bCs/>
          <w:sz w:val="21"/>
          <w:szCs w:val="21"/>
          <w:highlight w:val="none"/>
        </w:rPr>
        <w:t>估值方法</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存款类资产、货币市场工具：以本金列示，逐日计提利息。</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货币市场基金：以估值截止时间点能够取得的最新每万份收益进行估值。</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债券类资产：按公允价值进行估值，采用市价、第三方估值机构提供的估值价格、合理的估值技术或监管机构认可的其他估值方法进行估值。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债权类资产：按公允价值进行估值，采用合理的估值技术或监管机构认可的估值方法进行估值。</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证券、基金、保险等资产管理计划和信托计划等资产（不含货币市场基金）：按照证券、基金、保险等资产管理计划和信托计划的管理人和托管人共同确认的最新净值或投资收益进行估值。</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ascii="楷体" w:hAnsi="楷体" w:eastAsia="楷体" w:cs="Calibri"/>
          <w:sz w:val="21"/>
          <w:szCs w:val="21"/>
        </w:rPr>
      </w:pPr>
      <w:r>
        <w:rPr>
          <w:rFonts w:hint="eastAsia" w:ascii="楷体" w:hAnsi="楷体" w:eastAsia="楷体" w:cs="Calibri"/>
          <w:sz w:val="21"/>
          <w:szCs w:val="21"/>
        </w:rPr>
        <w:t>商品及衍生品类资产：按公允价值进行估值，采用市价、第三方估值机构提供的估值价格、合理的估值技术或监管机构认可的其他估值方法进行估值。</w:t>
      </w:r>
    </w:p>
    <w:p>
      <w:pPr>
        <w:keepNext w:val="0"/>
        <w:keepLines w:val="0"/>
        <w:pageBreakBefore w:val="0"/>
        <w:widowControl w:val="0"/>
        <w:numPr>
          <w:ilvl w:val="0"/>
          <w:numId w:val="16"/>
        </w:numPr>
        <w:tabs>
          <w:tab w:val="left" w:pos="728"/>
        </w:tabs>
        <w:kinsoku/>
        <w:wordWrap/>
        <w:overflowPunct/>
        <w:topLinePunct w:val="0"/>
        <w:bidi w:val="0"/>
        <w:snapToGrid/>
        <w:ind w:left="0" w:firstLine="420" w:firstLineChars="200"/>
        <w:textAlignment w:val="auto"/>
        <w:rPr>
          <w:rFonts w:hint="eastAsia" w:ascii="楷体" w:hAnsi="楷体" w:eastAsia="楷体" w:cs="Calibri"/>
          <w:sz w:val="21"/>
          <w:szCs w:val="21"/>
        </w:rPr>
      </w:pPr>
      <w:r>
        <w:rPr>
          <w:rFonts w:hint="eastAsia" w:ascii="楷体" w:hAnsi="楷体" w:eastAsia="楷体" w:cs="Calibri"/>
          <w:sz w:val="21"/>
          <w:szCs w:val="21"/>
        </w:rPr>
        <w:t>其他资产：按公允价值进行估值，采用合理的估值技术或监管机构认可的估值方法进行估值。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bookmarkStart w:id="0" w:name="_GoBack"/>
      <w:bookmarkEnd w:id="0"/>
      <w:r>
        <w:rPr>
          <w:rFonts w:hint="eastAsia" w:ascii="楷体" w:hAnsi="楷体" w:eastAsia="楷体"/>
          <w:sz w:val="21"/>
          <w:szCs w:val="21"/>
        </w:rPr>
        <w:t>如有新增事项或变更事项，按国家法律法规及监管最新规定执行。</w:t>
      </w:r>
    </w:p>
    <w:p>
      <w:pPr>
        <w:keepNext w:val="0"/>
        <w:keepLines w:val="0"/>
        <w:pageBreakBefore w:val="0"/>
        <w:widowControl w:val="0"/>
        <w:numPr>
          <w:ilvl w:val="0"/>
          <w:numId w:val="14"/>
        </w:numPr>
        <w:tabs>
          <w:tab w:val="left" w:pos="993"/>
        </w:tabs>
        <w:kinsoku/>
        <w:wordWrap/>
        <w:overflowPunct/>
        <w:topLinePunct w:val="0"/>
        <w:bidi w:val="0"/>
        <w:snapToGrid/>
        <w:ind w:left="0" w:firstLine="420" w:firstLineChars="200"/>
        <w:textAlignment w:val="auto"/>
        <w:outlineLvl w:val="2"/>
        <w:rPr>
          <w:rFonts w:ascii="楷体" w:hAnsi="楷体" w:eastAsia="楷体" w:cs="Calibri"/>
          <w:b w:val="0"/>
          <w:bCs/>
          <w:sz w:val="21"/>
          <w:szCs w:val="21"/>
        </w:rPr>
      </w:pPr>
      <w:r>
        <w:rPr>
          <w:rFonts w:hint="eastAsia" w:ascii="楷体" w:hAnsi="楷体" w:eastAsia="楷体" w:cs="Calibri"/>
          <w:b w:val="0"/>
          <w:bCs/>
          <w:sz w:val="21"/>
          <w:szCs w:val="21"/>
        </w:rPr>
        <w:t>估值错误的处理</w:t>
      </w:r>
    </w:p>
    <w:p>
      <w:pPr>
        <w:keepNext w:val="0"/>
        <w:keepLines w:val="0"/>
        <w:pageBreakBefore w:val="0"/>
        <w:widowControl w:val="0"/>
        <w:kinsoku/>
        <w:wordWrap/>
        <w:overflowPunct/>
        <w:topLinePunct w:val="0"/>
        <w:bidi w:val="0"/>
        <w:snapToGrid/>
        <w:ind w:firstLine="420" w:firstLineChars="200"/>
        <w:textAlignment w:val="auto"/>
        <w:rPr>
          <w:rFonts w:ascii="楷体" w:hAnsi="楷体" w:eastAsia="楷体"/>
          <w:sz w:val="21"/>
          <w:szCs w:val="21"/>
        </w:rPr>
      </w:pPr>
      <w:r>
        <w:rPr>
          <w:rFonts w:hint="eastAsia" w:ascii="楷体" w:hAnsi="楷体" w:eastAsia="楷体"/>
          <w:sz w:val="21"/>
          <w:szCs w:val="21"/>
        </w:rPr>
        <w:t>产品管理人和产品托管人将采取必要、适当合理的措施确保产品资产估值的准确性、及时性。当产品单位净值出现错误时，产品管理人应当立即予以纠正，并采取合理的措施防止损失进一步扩大。由于证券交易所、期货交易所、第三方估值机构、登记机构等发送数据错误等非理财产品管理人和托管人原因，或由于其它不可抗力原因，产品管理人和产品托管人虽然已采取必要、适当、合理的措施进行检查，但是未能发现该错误的，由此造成的产品估值错误，产品管理人和产品托管人免除赔偿责任。但产品管理人和产品托管人应当积极采取必要的措施减轻或消除由此造成的影响。</w:t>
      </w:r>
    </w:p>
    <w:p>
      <w:pPr>
        <w:keepNext w:val="0"/>
        <w:keepLines w:val="0"/>
        <w:pageBreakBefore w:val="0"/>
        <w:widowControl w:val="0"/>
        <w:numPr>
          <w:ilvl w:val="0"/>
          <w:numId w:val="14"/>
        </w:numPr>
        <w:tabs>
          <w:tab w:val="left" w:pos="993"/>
        </w:tabs>
        <w:kinsoku/>
        <w:wordWrap/>
        <w:overflowPunct/>
        <w:topLinePunct w:val="0"/>
        <w:bidi w:val="0"/>
        <w:snapToGrid/>
        <w:ind w:left="0" w:firstLine="420" w:firstLineChars="200"/>
        <w:textAlignment w:val="auto"/>
        <w:outlineLvl w:val="2"/>
        <w:rPr>
          <w:rFonts w:ascii="楷体" w:hAnsi="楷体" w:eastAsia="楷体" w:cs="Calibri"/>
          <w:b w:val="0"/>
          <w:bCs/>
          <w:sz w:val="21"/>
          <w:szCs w:val="21"/>
        </w:rPr>
      </w:pPr>
      <w:r>
        <w:rPr>
          <w:rFonts w:hint="eastAsia" w:ascii="楷体" w:hAnsi="楷体" w:eastAsia="楷体" w:cs="Calibri"/>
          <w:b w:val="0"/>
          <w:bCs/>
          <w:sz w:val="21"/>
          <w:szCs w:val="21"/>
        </w:rPr>
        <w:t>暂停估值</w:t>
      </w:r>
    </w:p>
    <w:p>
      <w:pPr>
        <w:keepNext w:val="0"/>
        <w:keepLines w:val="0"/>
        <w:pageBreakBefore w:val="0"/>
        <w:widowControl w:val="0"/>
        <w:kinsoku/>
        <w:wordWrap/>
        <w:overflowPunct/>
        <w:topLinePunct w:val="0"/>
        <w:bidi w:val="0"/>
        <w:snapToGrid/>
        <w:ind w:firstLine="420" w:firstLineChars="200"/>
        <w:textAlignment w:val="auto"/>
        <w:rPr>
          <w:rFonts w:hint="eastAsia" w:ascii="楷体" w:hAnsi="楷体" w:eastAsia="楷体"/>
          <w:sz w:val="21"/>
          <w:szCs w:val="21"/>
        </w:rPr>
      </w:pPr>
      <w:r>
        <w:rPr>
          <w:rFonts w:hint="eastAsia" w:ascii="楷体" w:hAnsi="楷体" w:eastAsia="楷体"/>
          <w:sz w:val="21"/>
          <w:szCs w:val="21"/>
        </w:rPr>
        <w:t>理财产品投资所涉及的证券交易所遇法定节假日或其他原因暂停营业时，或因任何不可抗力致使无法准确评估资产价值时，可暂停估值。但估值条件恢复时，将按规定完成估值工作。</w:t>
      </w:r>
    </w:p>
    <w:p>
      <w:pPr>
        <w:keepNext w:val="0"/>
        <w:keepLines w:val="0"/>
        <w:pageBreakBefore w:val="0"/>
        <w:widowControl w:val="0"/>
        <w:numPr>
          <w:ilvl w:val="0"/>
          <w:numId w:val="2"/>
        </w:numPr>
        <w:tabs>
          <w:tab w:val="left" w:pos="1428"/>
          <w:tab w:val="clear" w:pos="0"/>
        </w:tabs>
        <w:kinsoku/>
        <w:wordWrap/>
        <w:overflowPunct/>
        <w:topLinePunct w:val="0"/>
        <w:autoSpaceDE/>
        <w:autoSpaceDN/>
        <w:bidi w:val="0"/>
        <w:adjustRightInd/>
        <w:snapToGrid/>
        <w:ind w:left="0" w:leftChars="0" w:firstLine="422" w:firstLineChars="200"/>
        <w:textAlignment w:val="auto"/>
        <w:outlineLvl w:val="1"/>
        <w:rPr>
          <w:rFonts w:ascii="楷体" w:hAnsi="楷体" w:eastAsia="楷体"/>
          <w:b/>
          <w:sz w:val="21"/>
          <w:szCs w:val="21"/>
        </w:rPr>
      </w:pPr>
      <w:r>
        <w:rPr>
          <w:rFonts w:hint="eastAsia" w:ascii="楷体" w:hAnsi="楷体" w:eastAsia="楷体"/>
          <w:b/>
          <w:sz w:val="21"/>
          <w:szCs w:val="21"/>
        </w:rPr>
        <w:t>信息披露</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方式</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通过苏银理财有限责任公司官方网站（</w:t>
      </w:r>
      <w:r>
        <w:rPr>
          <w:rFonts w:ascii="楷体" w:hAnsi="楷体" w:eastAsia="楷体" w:cs="Calibri"/>
          <w:sz w:val="21"/>
          <w:szCs w:val="21"/>
          <w:highlight w:val="none"/>
        </w:rPr>
        <w:t>www</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suyinwealth</w:t>
      </w:r>
      <w:r>
        <w:rPr>
          <w:rFonts w:hint="eastAsia" w:ascii="楷体" w:hAnsi="楷体" w:eastAsia="楷体" w:cs="Calibri"/>
          <w:sz w:val="21"/>
          <w:szCs w:val="21"/>
          <w:highlight w:val="none"/>
          <w:lang w:val="en-US" w:eastAsia="zh-CN"/>
        </w:rPr>
        <w:t>.</w:t>
      </w:r>
      <w:r>
        <w:rPr>
          <w:rFonts w:ascii="楷体" w:hAnsi="楷体" w:eastAsia="楷体" w:cs="Calibri"/>
          <w:sz w:val="21"/>
          <w:szCs w:val="21"/>
          <w:highlight w:val="none"/>
        </w:rPr>
        <w:t>com</w:t>
      </w:r>
      <w:r>
        <w:rPr>
          <w:rFonts w:hint="eastAsia" w:ascii="楷体" w:hAnsi="楷体" w:eastAsia="楷体" w:cs="Calibri"/>
          <w:sz w:val="21"/>
          <w:szCs w:val="21"/>
          <w:highlight w:val="none"/>
        </w:rPr>
        <w:t>）进行信息披露。</w:t>
      </w:r>
    </w:p>
    <w:p>
      <w:pPr>
        <w:numPr>
          <w:ilvl w:val="0"/>
          <w:numId w:val="18"/>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sz w:val="21"/>
          <w:szCs w:val="21"/>
          <w:highlight w:val="none"/>
          <w:lang w:val="en-US" w:eastAsia="zh-CN"/>
        </w:rPr>
        <w:t>管理人</w:t>
      </w:r>
      <w:r>
        <w:rPr>
          <w:rFonts w:hint="eastAsia" w:ascii="楷体" w:hAnsi="楷体" w:eastAsia="楷体" w:cs="Calibri"/>
          <w:sz w:val="21"/>
          <w:szCs w:val="21"/>
          <w:highlight w:val="none"/>
        </w:rPr>
        <w:t>将信息披露内容发送销售机构，由销售机构通过</w:t>
      </w:r>
      <w:r>
        <w:rPr>
          <w:rFonts w:hint="eastAsia" w:ascii="楷体" w:hAnsi="楷体" w:eastAsia="楷体" w:cs="Calibri"/>
          <w:sz w:val="21"/>
          <w:szCs w:val="21"/>
          <w:highlight w:val="none"/>
          <w:lang w:val="en-US" w:eastAsia="zh-CN"/>
        </w:rPr>
        <w:t>短信及</w:t>
      </w:r>
      <w:r>
        <w:rPr>
          <w:rFonts w:hint="eastAsia" w:ascii="楷体" w:hAnsi="楷体" w:eastAsia="楷体" w:cs="Calibri"/>
          <w:sz w:val="21"/>
          <w:szCs w:val="21"/>
          <w:highlight w:val="none"/>
        </w:rPr>
        <w:t>销售机构电子渠道和营业网点</w:t>
      </w:r>
      <w:r>
        <w:rPr>
          <w:rFonts w:hint="eastAsia" w:ascii="楷体" w:hAnsi="楷体" w:eastAsia="楷体" w:cs="Calibri"/>
          <w:sz w:val="21"/>
          <w:szCs w:val="21"/>
          <w:highlight w:val="none"/>
          <w:lang w:val="en-US" w:eastAsia="zh-CN"/>
        </w:rPr>
        <w:t>等方式</w:t>
      </w:r>
      <w:r>
        <w:rPr>
          <w:rFonts w:hint="eastAsia" w:ascii="楷体" w:hAnsi="楷体" w:eastAsia="楷体" w:cs="Calibri"/>
          <w:sz w:val="21"/>
          <w:szCs w:val="21"/>
          <w:highlight w:val="none"/>
        </w:rPr>
        <w:t>进行信息披露。</w:t>
      </w:r>
    </w:p>
    <w:p>
      <w:pPr>
        <w:numPr>
          <w:ilvl w:val="-1"/>
          <w:numId w:val="0"/>
        </w:numPr>
        <w:ind w:left="0" w:firstLine="420" w:firstLineChars="200"/>
        <w:rPr>
          <w:rFonts w:ascii="楷体" w:hAnsi="楷体" w:eastAsia="楷体" w:cs="Calibri"/>
          <w:color w:val="auto"/>
          <w:sz w:val="21"/>
          <w:szCs w:val="21"/>
        </w:rPr>
      </w:pPr>
      <w:r>
        <w:rPr>
          <w:rFonts w:hint="eastAsia" w:ascii="楷体" w:hAnsi="楷体" w:eastAsia="楷体"/>
          <w:sz w:val="21"/>
          <w:szCs w:val="21"/>
          <w:highlight w:val="none"/>
        </w:rPr>
        <w:t>相关信息在发布或发出之日视为通知已送达投资者并生效，</w:t>
      </w:r>
      <w:r>
        <w:rPr>
          <w:rFonts w:hint="eastAsia" w:ascii="楷体" w:hAnsi="楷体" w:eastAsia="楷体"/>
          <w:sz w:val="21"/>
          <w:szCs w:val="21"/>
          <w:highlight w:val="none"/>
          <w:lang w:val="en-US" w:eastAsia="zh-CN"/>
        </w:rPr>
        <w:t>管理人已完全履行信息披露义务。如因投资者未及时查询，或由于通讯故障、非产品管理人原因的系统故障以及其它不可抗力等因素的影响，致使投资者无法及时获取产品信息而产生的全部责任和风险（包括但不限于因未及时获取信息而错过资金使用和再投资的机会等），都由投资者自行承担。因此</w:t>
      </w:r>
      <w:r>
        <w:rPr>
          <w:rFonts w:hint="eastAsia" w:ascii="楷体" w:hAnsi="楷体" w:eastAsia="楷体"/>
          <w:sz w:val="21"/>
          <w:szCs w:val="21"/>
          <w:highlight w:val="none"/>
        </w:rPr>
        <w:t>请</w:t>
      </w:r>
      <w:r>
        <w:rPr>
          <w:rFonts w:hint="eastAsia" w:ascii="楷体" w:hAnsi="楷体" w:eastAsia="楷体"/>
          <w:sz w:val="21"/>
          <w:szCs w:val="21"/>
          <w:highlight w:val="none"/>
          <w:lang w:val="en-US" w:eastAsia="zh-CN"/>
        </w:rPr>
        <w:t>投资者</w:t>
      </w:r>
      <w:r>
        <w:rPr>
          <w:rFonts w:hint="eastAsia" w:ascii="楷体" w:hAnsi="楷体" w:eastAsia="楷体"/>
          <w:sz w:val="21"/>
          <w:szCs w:val="21"/>
          <w:highlight w:val="none"/>
        </w:rPr>
        <w:t>及时登陆苏银理财有限责任</w:t>
      </w:r>
      <w:r>
        <w:rPr>
          <w:rFonts w:hint="eastAsia" w:ascii="楷体" w:hAnsi="楷体" w:eastAsia="楷体"/>
          <w:sz w:val="21"/>
          <w:szCs w:val="21"/>
          <w:highlight w:val="none"/>
          <w:lang w:val="en-US" w:eastAsia="zh-CN"/>
        </w:rPr>
        <w:t>公司</w:t>
      </w:r>
      <w:r>
        <w:rPr>
          <w:rFonts w:hint="eastAsia" w:ascii="楷体" w:hAnsi="楷体" w:eastAsia="楷体"/>
          <w:sz w:val="21"/>
          <w:szCs w:val="21"/>
          <w:highlight w:val="none"/>
        </w:rPr>
        <w:t>官方网站或者向销售机构查询获取披露信息</w:t>
      </w:r>
      <w:r>
        <w:rPr>
          <w:rFonts w:hint="eastAsia" w:ascii="楷体" w:hAnsi="楷体" w:eastAsia="楷体"/>
          <w:color w:val="auto"/>
          <w:sz w:val="21"/>
          <w:szCs w:val="21"/>
          <w:highlight w:val="none"/>
        </w:rPr>
        <w:t>。</w:t>
      </w:r>
    </w:p>
    <w:p>
      <w:pPr>
        <w:numPr>
          <w:ilvl w:val="0"/>
          <w:numId w:val="17"/>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信息披露</w:t>
      </w:r>
      <w:r>
        <w:rPr>
          <w:rFonts w:hint="eastAsia" w:ascii="楷体" w:hAnsi="楷体" w:eastAsia="楷体" w:cs="Calibri"/>
          <w:color w:val="auto"/>
          <w:sz w:val="21"/>
          <w:szCs w:val="21"/>
          <w:lang w:val="en-US" w:eastAsia="zh-CN"/>
        </w:rPr>
        <w:t>内容及时间</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产品净值：</w:t>
      </w:r>
      <w:r>
        <w:rPr>
          <w:rFonts w:hint="eastAsia" w:ascii="楷体" w:hAnsi="楷体" w:eastAsia="楷体" w:cs="Calibri"/>
          <w:color w:val="auto"/>
          <w:sz w:val="21"/>
          <w:szCs w:val="21"/>
          <w:highlight w:val="none"/>
          <w:lang w:val="en-US" w:eastAsia="zh-CN"/>
        </w:rPr>
        <w:t>公募封闭式产品至少</w:t>
      </w:r>
      <w:r>
        <w:rPr>
          <w:rFonts w:hint="eastAsia" w:ascii="楷体" w:hAnsi="楷体" w:eastAsia="楷体" w:cs="Calibri"/>
          <w:color w:val="auto"/>
          <w:sz w:val="21"/>
          <w:szCs w:val="21"/>
          <w:highlight w:val="none"/>
        </w:rPr>
        <w:t>每周向投资者披露一次产品的份额净值、份额累计净值</w:t>
      </w:r>
      <w:r>
        <w:rPr>
          <w:rFonts w:hint="eastAsia" w:ascii="楷体" w:hAnsi="楷体" w:eastAsia="楷体" w:cs="Calibri"/>
          <w:color w:val="auto"/>
          <w:sz w:val="21"/>
          <w:szCs w:val="21"/>
          <w:highlight w:val="none"/>
          <w:lang w:val="en-US" w:eastAsia="zh-CN"/>
        </w:rPr>
        <w:t>；公募开放式产品</w:t>
      </w:r>
      <w:r>
        <w:rPr>
          <w:rFonts w:hint="eastAsia" w:ascii="楷体" w:hAnsi="楷体" w:eastAsia="楷体" w:cs="Calibri"/>
          <w:color w:val="auto"/>
          <w:sz w:val="21"/>
          <w:szCs w:val="21"/>
          <w:highlight w:val="none"/>
          <w:lang w:eastAsia="zh-CN"/>
        </w:rPr>
        <w:t>每个开放日结束后两个工作日内，披露开放式公募理财产品在开放日的份额净值、份额累计净值、认（申）购价格和赎回价格</w:t>
      </w:r>
      <w:r>
        <w:rPr>
          <w:rFonts w:hint="eastAsia" w:ascii="楷体" w:hAnsi="楷体" w:eastAsia="楷体" w:cs="Calibri"/>
          <w:color w:val="auto"/>
          <w:sz w:val="21"/>
          <w:szCs w:val="21"/>
          <w:highlight w:val="none"/>
          <w:lang w:val="en-US" w:eastAsia="zh-CN"/>
        </w:rPr>
        <w:t>；私募产品至少每季度向投资者披露一次产品的份额净值、份额累计净值，以管理人实际披露为准</w:t>
      </w:r>
      <w:r>
        <w:rPr>
          <w:rFonts w:hint="eastAsia" w:ascii="楷体" w:hAnsi="楷体" w:eastAsia="楷体" w:cs="Calibri"/>
          <w:color w:val="auto"/>
          <w:sz w:val="21"/>
          <w:szCs w:val="21"/>
        </w:rPr>
        <w:t>。</w:t>
      </w:r>
    </w:p>
    <w:p>
      <w:pPr>
        <w:numPr>
          <w:ilvl w:val="0"/>
          <w:numId w:val="19"/>
        </w:numPr>
        <w:tabs>
          <w:tab w:val="left" w:pos="728"/>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发行公告：管理人在产品成立后5个工作日内，披露产品成立公告，内容包括理财产品成立日期和募集规模等信息。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定期公告：管理人在每个季度结束之日起15个工作日内、上半年结束之日起60个工作日内、每年结束之日起90个工作日内，披露产品季度、半年和年度报告等定期报告；产品成立不足90个工作日或者剩余存续期不超过90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到期公告：管理人在产品终止后5个工作日内，披露产品到期公告，内容包括理财产品的存续期限、终止日期、收费情况和收益分配情况等信息。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重大事项公告：管理人在发生可能对理财产品投资者或者理财产品收益</w:t>
      </w:r>
      <w:r>
        <w:rPr>
          <w:rFonts w:hint="eastAsia" w:ascii="楷体" w:hAnsi="楷体" w:eastAsia="楷体" w:cs="Calibri"/>
          <w:color w:val="auto"/>
          <w:sz w:val="21"/>
          <w:szCs w:val="21"/>
          <w:lang w:val="en-US" w:eastAsia="zh-CN"/>
        </w:rPr>
        <w:t>产生重大影响</w:t>
      </w:r>
      <w:r>
        <w:rPr>
          <w:rFonts w:hint="eastAsia" w:ascii="楷体" w:hAnsi="楷体" w:eastAsia="楷体" w:cs="Calibri"/>
          <w:color w:val="auto"/>
          <w:sz w:val="21"/>
          <w:szCs w:val="21"/>
        </w:rPr>
        <w:t>的事件后2个工作日内发布重大事项公告。</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临时性信息：管理人将及时披露国务院银行业监督管理机构规定的其他信息或除重大事项事件以外的其他信息。</w:t>
      </w:r>
    </w:p>
    <w:p>
      <w:pPr>
        <w:numPr>
          <w:ilvl w:val="0"/>
          <w:numId w:val="19"/>
        </w:numPr>
        <w:tabs>
          <w:tab w:val="left" w:pos="728"/>
        </w:tabs>
        <w:ind w:left="0" w:firstLine="420" w:firstLineChars="200"/>
        <w:rPr>
          <w:rFonts w:hint="eastAsia" w:ascii="楷体" w:hAnsi="楷体" w:eastAsia="楷体" w:cs="Calibri"/>
          <w:color w:val="auto"/>
          <w:sz w:val="21"/>
          <w:szCs w:val="21"/>
        </w:rPr>
      </w:pPr>
      <w:r>
        <w:rPr>
          <w:rFonts w:hint="eastAsia" w:ascii="楷体" w:hAnsi="楷体" w:eastAsia="楷体" w:cs="Calibri"/>
          <w:color w:val="auto"/>
          <w:sz w:val="21"/>
          <w:szCs w:val="21"/>
        </w:rPr>
        <w:t>半年度整体报告：每半年披露从事理财业务活动的有关信息。</w:t>
      </w:r>
    </w:p>
    <w:p>
      <w:pPr>
        <w:numPr>
          <w:ilvl w:val="0"/>
          <w:numId w:val="19"/>
        </w:numPr>
        <w:tabs>
          <w:tab w:val="left" w:pos="728"/>
        </w:tabs>
        <w:ind w:left="0" w:firstLine="420" w:firstLineChars="200"/>
      </w:pPr>
      <w:r>
        <w:rPr>
          <w:rFonts w:hint="eastAsia" w:ascii="楷体" w:hAnsi="楷体" w:eastAsia="楷体" w:cs="Calibri"/>
          <w:color w:val="auto"/>
          <w:sz w:val="21"/>
          <w:szCs w:val="21"/>
        </w:rPr>
        <w:t>理财账单：管理人每月向投资者提供其所持有的理财产品账单，账单内容包括但不限于投资者持有的理财产品份额、认购金额、份额</w:t>
      </w:r>
      <w:r>
        <w:rPr>
          <w:rFonts w:hint="eastAsia" w:ascii="楷体" w:hAnsi="楷体" w:eastAsia="楷体" w:cs="Calibri"/>
          <w:color w:val="auto"/>
          <w:sz w:val="21"/>
          <w:szCs w:val="21"/>
          <w:lang w:val="en-US" w:eastAsia="zh-CN"/>
        </w:rPr>
        <w:t>单位</w:t>
      </w:r>
      <w:r>
        <w:rPr>
          <w:rFonts w:hint="eastAsia" w:ascii="楷体" w:hAnsi="楷体" w:eastAsia="楷体" w:cs="Calibri"/>
          <w:color w:val="auto"/>
          <w:sz w:val="21"/>
          <w:szCs w:val="21"/>
        </w:rPr>
        <w:t>净值、份额累计净值、资产净值、收益情况、投资者理财交易账户发生的交易明细记录等信息。</w:t>
      </w:r>
    </w:p>
    <w:p>
      <w:pPr>
        <w:keepNext w:val="0"/>
        <w:keepLines w:val="0"/>
        <w:pageBreakBefore w:val="0"/>
        <w:widowControl w:val="0"/>
        <w:numPr>
          <w:ilvl w:val="0"/>
          <w:numId w:val="2"/>
        </w:numPr>
        <w:tabs>
          <w:tab w:val="left" w:pos="1428"/>
          <w:tab w:val="clear" w:pos="0"/>
        </w:tabs>
        <w:kinsoku/>
        <w:wordWrap/>
        <w:overflowPunct/>
        <w:topLinePunct w:val="0"/>
        <w:autoSpaceDE/>
        <w:autoSpaceDN/>
        <w:bidi w:val="0"/>
        <w:adjustRightInd/>
        <w:snapToGrid/>
        <w:ind w:left="0" w:leftChars="0" w:firstLine="422" w:firstLineChars="200"/>
        <w:textAlignment w:val="auto"/>
        <w:outlineLvl w:val="1"/>
        <w:rPr>
          <w:rFonts w:hint="eastAsia" w:ascii="楷体" w:hAnsi="楷体" w:eastAsia="楷体"/>
          <w:b/>
          <w:sz w:val="21"/>
          <w:szCs w:val="21"/>
        </w:rPr>
      </w:pPr>
      <w:r>
        <w:rPr>
          <w:rFonts w:hint="eastAsia" w:ascii="楷体" w:hAnsi="楷体" w:eastAsia="楷体"/>
          <w:b/>
          <w:sz w:val="21"/>
          <w:szCs w:val="21"/>
        </w:rPr>
        <w:t>其他</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追索条款</w:t>
      </w:r>
    </w:p>
    <w:p>
      <w:pPr>
        <w:ind w:firstLine="420" w:firstLineChars="200"/>
        <w:rPr>
          <w:rFonts w:ascii="楷体" w:hAnsi="楷体" w:eastAsia="楷体"/>
          <w:color w:val="auto"/>
          <w:sz w:val="21"/>
          <w:szCs w:val="21"/>
        </w:rPr>
      </w:pPr>
      <w:r>
        <w:rPr>
          <w:rFonts w:hint="eastAsia" w:ascii="楷体" w:hAnsi="楷体" w:eastAsia="楷体"/>
          <w:color w:val="auto"/>
          <w:sz w:val="21"/>
          <w:szCs w:val="21"/>
        </w:rPr>
        <w:t>若本理财产品所投资的金融资产到期不能全部偿付导致资产减值甚至本金大幅损失，则苏银理财将以管理人名义，代表理财产品投资者利益行使诉讼权利或者实施其他权利救济措施。</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信息安全</w:t>
      </w:r>
    </w:p>
    <w:p>
      <w:pPr>
        <w:ind w:firstLine="420" w:firstLineChars="200"/>
        <w:rPr>
          <w:rFonts w:hint="eastAsia" w:ascii="楷体" w:hAnsi="楷体" w:eastAsia="楷体"/>
          <w:color w:val="auto"/>
          <w:sz w:val="21"/>
          <w:szCs w:val="21"/>
          <w:highlight w:val="none"/>
        </w:rPr>
      </w:pPr>
      <w:r>
        <w:rPr>
          <w:rFonts w:hint="eastAsia" w:ascii="楷体" w:hAnsi="楷体" w:eastAsia="楷体"/>
          <w:color w:val="auto"/>
          <w:sz w:val="21"/>
          <w:szCs w:val="21"/>
        </w:rPr>
        <w:t>苏银理财及</w:t>
      </w:r>
      <w:r>
        <w:rPr>
          <w:rFonts w:hint="eastAsia" w:ascii="楷体" w:hAnsi="楷体" w:eastAsia="楷体"/>
          <w:color w:val="auto"/>
          <w:sz w:val="21"/>
          <w:szCs w:val="21"/>
          <w:lang w:val="en-US" w:eastAsia="zh-CN"/>
        </w:rPr>
        <w:t>销售</w:t>
      </w:r>
      <w:r>
        <w:rPr>
          <w:rFonts w:hint="eastAsia" w:ascii="楷体" w:hAnsi="楷体" w:eastAsia="楷体"/>
          <w:color w:val="auto"/>
          <w:sz w:val="21"/>
          <w:szCs w:val="21"/>
        </w:rPr>
        <w:t>机构将据相关法律、法规严格履行投资者信息保密责任，除监管机构或司法机关等有权机构外，不得对其他第三方提供任何投资者信息。</w:t>
      </w:r>
    </w:p>
    <w:p>
      <w:pPr>
        <w:numPr>
          <w:ilvl w:val="0"/>
          <w:numId w:val="20"/>
        </w:numPr>
        <w:tabs>
          <w:tab w:val="left" w:pos="993"/>
        </w:tabs>
        <w:ind w:left="0" w:firstLine="420" w:firstLineChars="200"/>
        <w:rPr>
          <w:rFonts w:ascii="楷体" w:hAnsi="楷体" w:eastAsia="楷体" w:cs="Calibri"/>
          <w:color w:val="auto"/>
          <w:sz w:val="21"/>
          <w:szCs w:val="21"/>
        </w:rPr>
      </w:pPr>
      <w:r>
        <w:rPr>
          <w:rFonts w:hint="eastAsia" w:ascii="楷体" w:hAnsi="楷体" w:eastAsia="楷体" w:cs="Calibri"/>
          <w:color w:val="auto"/>
          <w:sz w:val="21"/>
          <w:szCs w:val="21"/>
        </w:rPr>
        <w:t>争议解决</w:t>
      </w:r>
    </w:p>
    <w:p>
      <w:pPr>
        <w:ind w:firstLine="420" w:firstLineChars="200"/>
        <w:jc w:val="left"/>
        <w:rPr>
          <w:rFonts w:hint="eastAsia"/>
        </w:rPr>
      </w:pP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的订立、生效、履行、解释、修改和终止等事项均适用中华人民共和国（</w:t>
      </w:r>
      <w:r>
        <w:rPr>
          <w:rFonts w:hint="eastAsia" w:ascii="楷体" w:hAnsi="楷体" w:eastAsia="楷体"/>
          <w:color w:val="auto"/>
          <w:sz w:val="21"/>
          <w:szCs w:val="21"/>
          <w:lang w:val="en-US" w:eastAsia="zh-CN"/>
        </w:rPr>
        <w:t>为本合同目的，</w:t>
      </w:r>
      <w:r>
        <w:rPr>
          <w:rFonts w:hint="eastAsia" w:ascii="楷体" w:hAnsi="楷体" w:eastAsia="楷体"/>
          <w:color w:val="auto"/>
          <w:sz w:val="21"/>
          <w:szCs w:val="21"/>
        </w:rPr>
        <w:t>不包括香港特别行政区、澳门特别行政区和台湾地区）法律。</w:t>
      </w:r>
      <w:r>
        <w:rPr>
          <w:rFonts w:hint="eastAsia" w:ascii="楷体" w:hAnsi="楷体" w:eastAsia="楷体"/>
          <w:color w:val="auto"/>
          <w:sz w:val="21"/>
          <w:szCs w:val="21"/>
          <w:lang w:val="en-US" w:eastAsia="zh-CN"/>
        </w:rPr>
        <w:t>因本产品说明书</w:t>
      </w:r>
      <w:r>
        <w:rPr>
          <w:rFonts w:hint="eastAsia" w:ascii="楷体" w:hAnsi="楷体" w:eastAsia="楷体"/>
          <w:color w:val="auto"/>
          <w:sz w:val="21"/>
          <w:szCs w:val="21"/>
        </w:rPr>
        <w:t>引起的或与</w:t>
      </w:r>
      <w:r>
        <w:rPr>
          <w:rFonts w:hint="eastAsia" w:ascii="楷体" w:hAnsi="楷体" w:eastAsia="楷体"/>
          <w:color w:val="auto"/>
          <w:sz w:val="21"/>
          <w:szCs w:val="21"/>
          <w:lang w:val="en-US" w:eastAsia="zh-CN"/>
        </w:rPr>
        <w:t>本产品说明书</w:t>
      </w:r>
      <w:r>
        <w:rPr>
          <w:rFonts w:hint="eastAsia" w:ascii="楷体" w:hAnsi="楷体" w:eastAsia="楷体"/>
          <w:color w:val="auto"/>
          <w:sz w:val="21"/>
          <w:szCs w:val="21"/>
        </w:rPr>
        <w:t>有关的任何争议，应当首先通过双方之间的友好协商解决；协商不成的，双方均有权提交产品管理人</w:t>
      </w:r>
      <w:r>
        <w:rPr>
          <w:rFonts w:hint="eastAsia" w:ascii="楷体" w:hAnsi="楷体" w:eastAsia="楷体"/>
          <w:color w:val="auto"/>
          <w:sz w:val="21"/>
          <w:szCs w:val="21"/>
          <w:lang w:val="en-US" w:eastAsia="zh-CN"/>
        </w:rPr>
        <w:t>住所地</w:t>
      </w:r>
      <w:r>
        <w:rPr>
          <w:rFonts w:hint="eastAsia" w:ascii="楷体" w:hAnsi="楷体" w:eastAsia="楷体"/>
          <w:color w:val="auto"/>
          <w:sz w:val="21"/>
          <w:szCs w:val="21"/>
        </w:rPr>
        <w:t>有管辖权的人民法院诉讼解决。</w:t>
      </w:r>
    </w:p>
    <w:sectPr>
      <w:headerReference r:id="rId5" w:type="first"/>
      <w:headerReference r:id="rId3" w:type="default"/>
      <w:footerReference r:id="rId6" w:type="default"/>
      <w:headerReference r:id="rId4" w:type="even"/>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4"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4992370</wp:posOffset>
          </wp:positionH>
          <wp:positionV relativeFrom="paragraph">
            <wp:posOffset>-124460</wp:posOffset>
          </wp:positionV>
          <wp:extent cx="1325245" cy="424815"/>
          <wp:effectExtent l="0" t="0" r="8255" b="3810"/>
          <wp:wrapSquare wrapText="bothSides"/>
          <wp:docPr id="1"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7A4B8"/>
    <w:multiLevelType w:val="multilevel"/>
    <w:tmpl w:val="83C7A4B8"/>
    <w:lvl w:ilvl="0" w:tentative="0">
      <w:start w:val="1"/>
      <w:numFmt w:val="decimal"/>
      <w:suff w:val="nothing"/>
      <w:lvlText w:val="%1."/>
      <w:lvlJc w:val="left"/>
      <w:pPr>
        <w:tabs>
          <w:tab w:val="left" w:pos="420"/>
        </w:tabs>
        <w:ind w:left="420" w:hanging="420"/>
      </w:pPr>
      <w:rPr>
        <w:rFonts w:hint="default"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FF389C"/>
    <w:multiLevelType w:val="multilevel"/>
    <w:tmpl w:val="09FF38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3743EB"/>
    <w:multiLevelType w:val="multilevel"/>
    <w:tmpl w:val="0C37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3765E7"/>
    <w:multiLevelType w:val="multilevel"/>
    <w:tmpl w:val="0C3765E7"/>
    <w:lvl w:ilvl="0" w:tentative="0">
      <w:start w:val="1"/>
      <w:numFmt w:val="chineseCounting"/>
      <w:suff w:val="nothing"/>
      <w:lvlText w:val="（%1）"/>
      <w:lvlJc w:val="left"/>
      <w:pPr>
        <w:tabs>
          <w:tab w:val="left" w:pos="0"/>
        </w:tabs>
        <w:ind w:left="420" w:hanging="420"/>
      </w:pPr>
      <w:rPr>
        <w:rFonts w:hint="eastAsia" w:ascii="楷体" w:hAnsi="楷体" w:eastAsia="楷体" w:cs="楷体"/>
        <w:b w:val="0"/>
        <w:bCs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10C2B17"/>
    <w:multiLevelType w:val="multilevel"/>
    <w:tmpl w:val="110C2B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6D7B4C"/>
    <w:multiLevelType w:val="multilevel"/>
    <w:tmpl w:val="296D7B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5E71E1"/>
    <w:multiLevelType w:val="multilevel"/>
    <w:tmpl w:val="2B5E71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D5197BC"/>
    <w:multiLevelType w:val="multilevel"/>
    <w:tmpl w:val="2D5197BC"/>
    <w:lvl w:ilvl="0" w:tentative="0">
      <w:start w:val="1"/>
      <w:numFmt w:val="chineseCounting"/>
      <w:suff w:val="nothing"/>
      <w:lvlText w:val="%1、"/>
      <w:lvlJc w:val="left"/>
      <w:pPr>
        <w:tabs>
          <w:tab w:val="left" w:pos="0"/>
        </w:tabs>
        <w:ind w:left="0" w:firstLine="40"/>
      </w:pPr>
      <w:rPr>
        <w:rFonts w:hint="eastAsia" w:ascii="楷体" w:hAnsi="楷体" w:eastAsia="楷体" w:cs="楷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3708999D"/>
    <w:multiLevelType w:val="singleLevel"/>
    <w:tmpl w:val="3708999D"/>
    <w:lvl w:ilvl="0" w:tentative="0">
      <w:start w:val="1"/>
      <w:numFmt w:val="decimalEnclosedCircleChinese"/>
      <w:suff w:val="nothing"/>
      <w:lvlText w:val="%1　"/>
      <w:lvlJc w:val="left"/>
      <w:pPr>
        <w:ind w:left="0" w:firstLine="400"/>
      </w:pPr>
      <w:rPr>
        <w:rFonts w:hint="eastAsia"/>
      </w:rPr>
    </w:lvl>
  </w:abstractNum>
  <w:abstractNum w:abstractNumId="9">
    <w:nsid w:val="393A262E"/>
    <w:multiLevelType w:val="multilevel"/>
    <w:tmpl w:val="393A262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CC848E7"/>
    <w:multiLevelType w:val="multilevel"/>
    <w:tmpl w:val="4CC848E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FF03779"/>
    <w:multiLevelType w:val="singleLevel"/>
    <w:tmpl w:val="4FF03779"/>
    <w:lvl w:ilvl="0" w:tentative="0">
      <w:start w:val="1"/>
      <w:numFmt w:val="decimal"/>
      <w:suff w:val="nothing"/>
      <w:lvlText w:val="%1."/>
      <w:lvlJc w:val="left"/>
      <w:pPr>
        <w:tabs>
          <w:tab w:val="left" w:pos="0"/>
        </w:tabs>
        <w:ind w:left="0" w:firstLine="0"/>
      </w:pPr>
      <w:rPr>
        <w:rFonts w:hint="default"/>
      </w:rPr>
    </w:lvl>
  </w:abstractNum>
  <w:abstractNum w:abstractNumId="12">
    <w:nsid w:val="52915C06"/>
    <w:multiLevelType w:val="multilevel"/>
    <w:tmpl w:val="52915C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51134C1"/>
    <w:multiLevelType w:val="multilevel"/>
    <w:tmpl w:val="551134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8D10B54"/>
    <w:multiLevelType w:val="multilevel"/>
    <w:tmpl w:val="58D10B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7267532"/>
    <w:multiLevelType w:val="multilevel"/>
    <w:tmpl w:val="6726753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CA0107E"/>
    <w:multiLevelType w:val="multilevel"/>
    <w:tmpl w:val="6CA010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A47F2C"/>
    <w:multiLevelType w:val="multilevel"/>
    <w:tmpl w:val="6DA47F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5E52FDD"/>
    <w:multiLevelType w:val="multilevel"/>
    <w:tmpl w:val="75E52F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8541B78"/>
    <w:multiLevelType w:val="singleLevel"/>
    <w:tmpl w:val="78541B78"/>
    <w:lvl w:ilvl="0" w:tentative="0">
      <w:start w:val="1"/>
      <w:numFmt w:val="decimal"/>
      <w:suff w:val="nothing"/>
      <w:lvlText w:val="（%1）"/>
      <w:lvlJc w:val="left"/>
    </w:lvl>
  </w:abstractNum>
  <w:num w:numId="1">
    <w:abstractNumId w:val="8"/>
  </w:num>
  <w:num w:numId="2">
    <w:abstractNumId w:val="7"/>
  </w:num>
  <w:num w:numId="3">
    <w:abstractNumId w:val="15"/>
  </w:num>
  <w:num w:numId="4">
    <w:abstractNumId w:val="16"/>
  </w:num>
  <w:num w:numId="5">
    <w:abstractNumId w:val="5"/>
  </w:num>
  <w:num w:numId="6">
    <w:abstractNumId w:val="18"/>
  </w:num>
  <w:num w:numId="7">
    <w:abstractNumId w:val="19"/>
  </w:num>
  <w:num w:numId="8">
    <w:abstractNumId w:val="11"/>
  </w:num>
  <w:num w:numId="9">
    <w:abstractNumId w:val="10"/>
  </w:num>
  <w:num w:numId="10">
    <w:abstractNumId w:val="6"/>
  </w:num>
  <w:num w:numId="11">
    <w:abstractNumId w:val="4"/>
  </w:num>
  <w:num w:numId="12">
    <w:abstractNumId w:val="3"/>
  </w:num>
  <w:num w:numId="13">
    <w:abstractNumId w:val="0"/>
  </w:num>
  <w:num w:numId="14">
    <w:abstractNumId w:val="14"/>
  </w:num>
  <w:num w:numId="15">
    <w:abstractNumId w:val="12"/>
  </w:num>
  <w:num w:numId="16">
    <w:abstractNumId w:val="2"/>
  </w:num>
  <w:num w:numId="17">
    <w:abstractNumId w:val="13"/>
  </w:num>
  <w:num w:numId="18">
    <w:abstractNumId w:val="1"/>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CBB"/>
    <w:rsid w:val="00276FCD"/>
    <w:rsid w:val="005610EB"/>
    <w:rsid w:val="00B73039"/>
    <w:rsid w:val="01C11F94"/>
    <w:rsid w:val="01F11ABC"/>
    <w:rsid w:val="02342294"/>
    <w:rsid w:val="02394C4E"/>
    <w:rsid w:val="02706D07"/>
    <w:rsid w:val="030516AD"/>
    <w:rsid w:val="03B26B31"/>
    <w:rsid w:val="03FC3F39"/>
    <w:rsid w:val="04A92EE3"/>
    <w:rsid w:val="05120775"/>
    <w:rsid w:val="052D480C"/>
    <w:rsid w:val="05397409"/>
    <w:rsid w:val="05AB50DB"/>
    <w:rsid w:val="05C22B02"/>
    <w:rsid w:val="06A93A70"/>
    <w:rsid w:val="083C4181"/>
    <w:rsid w:val="08494B4C"/>
    <w:rsid w:val="087E378B"/>
    <w:rsid w:val="08C87576"/>
    <w:rsid w:val="099730C7"/>
    <w:rsid w:val="09BB6FD3"/>
    <w:rsid w:val="0AA20035"/>
    <w:rsid w:val="0B471607"/>
    <w:rsid w:val="0B7873E7"/>
    <w:rsid w:val="0BE46D3E"/>
    <w:rsid w:val="0C8C56A3"/>
    <w:rsid w:val="0CB3468E"/>
    <w:rsid w:val="0D460355"/>
    <w:rsid w:val="0D5B3087"/>
    <w:rsid w:val="0DDD75CE"/>
    <w:rsid w:val="0F1B4AB3"/>
    <w:rsid w:val="0F2D7FC5"/>
    <w:rsid w:val="0FA551A3"/>
    <w:rsid w:val="106A7BFD"/>
    <w:rsid w:val="109A102D"/>
    <w:rsid w:val="11C449B6"/>
    <w:rsid w:val="12136ABA"/>
    <w:rsid w:val="12627D38"/>
    <w:rsid w:val="126807AF"/>
    <w:rsid w:val="12705D8B"/>
    <w:rsid w:val="130A1945"/>
    <w:rsid w:val="132C05F4"/>
    <w:rsid w:val="133603BC"/>
    <w:rsid w:val="13813EDF"/>
    <w:rsid w:val="13BA3C51"/>
    <w:rsid w:val="142E3B87"/>
    <w:rsid w:val="14AE7D5C"/>
    <w:rsid w:val="14EA3140"/>
    <w:rsid w:val="151627A4"/>
    <w:rsid w:val="15452BE9"/>
    <w:rsid w:val="15C23F41"/>
    <w:rsid w:val="16452649"/>
    <w:rsid w:val="17E11F5A"/>
    <w:rsid w:val="18563155"/>
    <w:rsid w:val="18766114"/>
    <w:rsid w:val="18903A4D"/>
    <w:rsid w:val="191E3445"/>
    <w:rsid w:val="19DA1846"/>
    <w:rsid w:val="19DF46F8"/>
    <w:rsid w:val="19E8300C"/>
    <w:rsid w:val="1A74679E"/>
    <w:rsid w:val="1AA527A3"/>
    <w:rsid w:val="1BB6506B"/>
    <w:rsid w:val="1BF53974"/>
    <w:rsid w:val="1C1B3B29"/>
    <w:rsid w:val="1C4231EC"/>
    <w:rsid w:val="1D505225"/>
    <w:rsid w:val="1DA43FDF"/>
    <w:rsid w:val="1E0972D4"/>
    <w:rsid w:val="1E5B385B"/>
    <w:rsid w:val="1F111238"/>
    <w:rsid w:val="1FBB7F9F"/>
    <w:rsid w:val="20862AD5"/>
    <w:rsid w:val="208D0A85"/>
    <w:rsid w:val="20D359FB"/>
    <w:rsid w:val="21361C5E"/>
    <w:rsid w:val="21893A13"/>
    <w:rsid w:val="22480419"/>
    <w:rsid w:val="22DC376E"/>
    <w:rsid w:val="239F40F6"/>
    <w:rsid w:val="23ED3B3C"/>
    <w:rsid w:val="24CA7BB8"/>
    <w:rsid w:val="250550E5"/>
    <w:rsid w:val="254734B9"/>
    <w:rsid w:val="2550672C"/>
    <w:rsid w:val="25BD0FD2"/>
    <w:rsid w:val="263B5F44"/>
    <w:rsid w:val="26690F27"/>
    <w:rsid w:val="26A12F28"/>
    <w:rsid w:val="26B91D54"/>
    <w:rsid w:val="26E90667"/>
    <w:rsid w:val="26F43175"/>
    <w:rsid w:val="274A0B5C"/>
    <w:rsid w:val="27FA7E2E"/>
    <w:rsid w:val="288E0F4E"/>
    <w:rsid w:val="28EF5796"/>
    <w:rsid w:val="28F60FCD"/>
    <w:rsid w:val="29855A2C"/>
    <w:rsid w:val="2A832D10"/>
    <w:rsid w:val="2AF12700"/>
    <w:rsid w:val="2B221E6C"/>
    <w:rsid w:val="2B3631F4"/>
    <w:rsid w:val="2B797161"/>
    <w:rsid w:val="2CE341B5"/>
    <w:rsid w:val="2E407A81"/>
    <w:rsid w:val="2E835E5F"/>
    <w:rsid w:val="2E8A38BB"/>
    <w:rsid w:val="2E9559D9"/>
    <w:rsid w:val="2E9F679E"/>
    <w:rsid w:val="2EA56E27"/>
    <w:rsid w:val="2F3015A3"/>
    <w:rsid w:val="2F5219B0"/>
    <w:rsid w:val="2F6A13F9"/>
    <w:rsid w:val="302144DC"/>
    <w:rsid w:val="30405DB5"/>
    <w:rsid w:val="30426D1D"/>
    <w:rsid w:val="31097378"/>
    <w:rsid w:val="311D7D22"/>
    <w:rsid w:val="31376781"/>
    <w:rsid w:val="32035262"/>
    <w:rsid w:val="32273428"/>
    <w:rsid w:val="328344B2"/>
    <w:rsid w:val="331B4ED5"/>
    <w:rsid w:val="334151A1"/>
    <w:rsid w:val="33550FE6"/>
    <w:rsid w:val="336C141E"/>
    <w:rsid w:val="339C18CC"/>
    <w:rsid w:val="33C259F7"/>
    <w:rsid w:val="34727D99"/>
    <w:rsid w:val="347A39E3"/>
    <w:rsid w:val="34C51A78"/>
    <w:rsid w:val="34E0563C"/>
    <w:rsid w:val="35CD3B0F"/>
    <w:rsid w:val="35F40894"/>
    <w:rsid w:val="35F53BC7"/>
    <w:rsid w:val="35FC56A1"/>
    <w:rsid w:val="36D265FE"/>
    <w:rsid w:val="37195DD0"/>
    <w:rsid w:val="37396667"/>
    <w:rsid w:val="375223CF"/>
    <w:rsid w:val="375F35B5"/>
    <w:rsid w:val="37F6376B"/>
    <w:rsid w:val="38005C99"/>
    <w:rsid w:val="3806789C"/>
    <w:rsid w:val="398C207A"/>
    <w:rsid w:val="399651CC"/>
    <w:rsid w:val="3AC86100"/>
    <w:rsid w:val="3B316DAA"/>
    <w:rsid w:val="3BAF51F7"/>
    <w:rsid w:val="3CA73211"/>
    <w:rsid w:val="3DC06319"/>
    <w:rsid w:val="3E390124"/>
    <w:rsid w:val="3E4F4139"/>
    <w:rsid w:val="3ED33ABA"/>
    <w:rsid w:val="3EDC31B1"/>
    <w:rsid w:val="3FBD5D22"/>
    <w:rsid w:val="3FFF7279"/>
    <w:rsid w:val="405B780B"/>
    <w:rsid w:val="407A2131"/>
    <w:rsid w:val="40B93161"/>
    <w:rsid w:val="40BB01C3"/>
    <w:rsid w:val="423A0CFF"/>
    <w:rsid w:val="427B00CF"/>
    <w:rsid w:val="43076EE2"/>
    <w:rsid w:val="432F1E46"/>
    <w:rsid w:val="43A60B8B"/>
    <w:rsid w:val="43CA7AC6"/>
    <w:rsid w:val="43DD1CAC"/>
    <w:rsid w:val="43ED3FBD"/>
    <w:rsid w:val="447F71E8"/>
    <w:rsid w:val="45245151"/>
    <w:rsid w:val="456926CF"/>
    <w:rsid w:val="458B1600"/>
    <w:rsid w:val="45A31E9F"/>
    <w:rsid w:val="46F648FA"/>
    <w:rsid w:val="48683357"/>
    <w:rsid w:val="48B60ED8"/>
    <w:rsid w:val="49287F12"/>
    <w:rsid w:val="49582C60"/>
    <w:rsid w:val="495D6DB6"/>
    <w:rsid w:val="497B6BF6"/>
    <w:rsid w:val="49B83F7E"/>
    <w:rsid w:val="4A06662F"/>
    <w:rsid w:val="4ABD162D"/>
    <w:rsid w:val="4BD02064"/>
    <w:rsid w:val="4BF673B5"/>
    <w:rsid w:val="4C0A2CBC"/>
    <w:rsid w:val="4C0B3EB6"/>
    <w:rsid w:val="4C4F3FC2"/>
    <w:rsid w:val="4CC732A2"/>
    <w:rsid w:val="4D077EEE"/>
    <w:rsid w:val="4D0E0101"/>
    <w:rsid w:val="4D3C02CC"/>
    <w:rsid w:val="4DBC05B9"/>
    <w:rsid w:val="4E470622"/>
    <w:rsid w:val="4EB57E15"/>
    <w:rsid w:val="4F3141FC"/>
    <w:rsid w:val="4F3B33EB"/>
    <w:rsid w:val="4F5E5E3A"/>
    <w:rsid w:val="4F833B49"/>
    <w:rsid w:val="504D489E"/>
    <w:rsid w:val="50AC6DEA"/>
    <w:rsid w:val="514805FC"/>
    <w:rsid w:val="517B26E0"/>
    <w:rsid w:val="5219373E"/>
    <w:rsid w:val="524C0A95"/>
    <w:rsid w:val="52780153"/>
    <w:rsid w:val="52F50359"/>
    <w:rsid w:val="532064EF"/>
    <w:rsid w:val="53F44044"/>
    <w:rsid w:val="55F51240"/>
    <w:rsid w:val="56376A81"/>
    <w:rsid w:val="566B4A32"/>
    <w:rsid w:val="56EF4E6F"/>
    <w:rsid w:val="575431DF"/>
    <w:rsid w:val="57597E5D"/>
    <w:rsid w:val="576079D6"/>
    <w:rsid w:val="57C205D4"/>
    <w:rsid w:val="581A432A"/>
    <w:rsid w:val="58DF20B1"/>
    <w:rsid w:val="58EF2ED0"/>
    <w:rsid w:val="59144A6B"/>
    <w:rsid w:val="59205884"/>
    <w:rsid w:val="598A3524"/>
    <w:rsid w:val="59EE2A23"/>
    <w:rsid w:val="5A093EC3"/>
    <w:rsid w:val="5A86434D"/>
    <w:rsid w:val="5A8702A8"/>
    <w:rsid w:val="5ADF54B5"/>
    <w:rsid w:val="5C882FDD"/>
    <w:rsid w:val="5CB22E1D"/>
    <w:rsid w:val="5E7B340D"/>
    <w:rsid w:val="5EB35D09"/>
    <w:rsid w:val="5ECE5416"/>
    <w:rsid w:val="5F20411D"/>
    <w:rsid w:val="5F247745"/>
    <w:rsid w:val="5FE307E1"/>
    <w:rsid w:val="60B91793"/>
    <w:rsid w:val="60CC4D75"/>
    <w:rsid w:val="60E67AA7"/>
    <w:rsid w:val="613F1997"/>
    <w:rsid w:val="61521F2D"/>
    <w:rsid w:val="619E0AB7"/>
    <w:rsid w:val="61B16453"/>
    <w:rsid w:val="627E6257"/>
    <w:rsid w:val="628D12AE"/>
    <w:rsid w:val="631B084A"/>
    <w:rsid w:val="63DD04FD"/>
    <w:rsid w:val="63F6448F"/>
    <w:rsid w:val="64133A3F"/>
    <w:rsid w:val="643E4883"/>
    <w:rsid w:val="64BF1959"/>
    <w:rsid w:val="64C14621"/>
    <w:rsid w:val="64EF46A6"/>
    <w:rsid w:val="65014B04"/>
    <w:rsid w:val="65143FAD"/>
    <w:rsid w:val="655A3D56"/>
    <w:rsid w:val="657938B0"/>
    <w:rsid w:val="65A137B1"/>
    <w:rsid w:val="65CD5630"/>
    <w:rsid w:val="65FC7340"/>
    <w:rsid w:val="662117DA"/>
    <w:rsid w:val="66A717F9"/>
    <w:rsid w:val="66A9578C"/>
    <w:rsid w:val="67057615"/>
    <w:rsid w:val="67896ED4"/>
    <w:rsid w:val="67AA451F"/>
    <w:rsid w:val="67FA4DDD"/>
    <w:rsid w:val="67FA7C0D"/>
    <w:rsid w:val="688556A7"/>
    <w:rsid w:val="688E2042"/>
    <w:rsid w:val="6895189D"/>
    <w:rsid w:val="68FC334A"/>
    <w:rsid w:val="69473E9F"/>
    <w:rsid w:val="69AC4F69"/>
    <w:rsid w:val="69D72936"/>
    <w:rsid w:val="6A572E84"/>
    <w:rsid w:val="6B2D6E6C"/>
    <w:rsid w:val="6B4F2A74"/>
    <w:rsid w:val="6B7460C1"/>
    <w:rsid w:val="6B7912ED"/>
    <w:rsid w:val="6BA359B8"/>
    <w:rsid w:val="6C035B7A"/>
    <w:rsid w:val="6C303D8F"/>
    <w:rsid w:val="6C6C0792"/>
    <w:rsid w:val="6CAB2100"/>
    <w:rsid w:val="6D9A555F"/>
    <w:rsid w:val="6DFD7CD4"/>
    <w:rsid w:val="6E046353"/>
    <w:rsid w:val="6E3034D4"/>
    <w:rsid w:val="6F5161E8"/>
    <w:rsid w:val="6FF51B3B"/>
    <w:rsid w:val="6FFC72C8"/>
    <w:rsid w:val="709561C1"/>
    <w:rsid w:val="709642CC"/>
    <w:rsid w:val="70F85622"/>
    <w:rsid w:val="719B567C"/>
    <w:rsid w:val="72210801"/>
    <w:rsid w:val="72827EA0"/>
    <w:rsid w:val="72CE224D"/>
    <w:rsid w:val="72E91E80"/>
    <w:rsid w:val="73022ABD"/>
    <w:rsid w:val="7408726D"/>
    <w:rsid w:val="747E7F88"/>
    <w:rsid w:val="755D77B8"/>
    <w:rsid w:val="761D2C35"/>
    <w:rsid w:val="7684397E"/>
    <w:rsid w:val="774477A2"/>
    <w:rsid w:val="77492D2D"/>
    <w:rsid w:val="77524F4D"/>
    <w:rsid w:val="78177B29"/>
    <w:rsid w:val="782352CE"/>
    <w:rsid w:val="782A33A6"/>
    <w:rsid w:val="78535B94"/>
    <w:rsid w:val="785E0C86"/>
    <w:rsid w:val="786A5D9D"/>
    <w:rsid w:val="787F629A"/>
    <w:rsid w:val="78DC7260"/>
    <w:rsid w:val="7900411B"/>
    <w:rsid w:val="790D0E29"/>
    <w:rsid w:val="79395171"/>
    <w:rsid w:val="79A35C57"/>
    <w:rsid w:val="79B85C40"/>
    <w:rsid w:val="7A385137"/>
    <w:rsid w:val="7AFC2853"/>
    <w:rsid w:val="7B4A194A"/>
    <w:rsid w:val="7B5016A8"/>
    <w:rsid w:val="7B825B7C"/>
    <w:rsid w:val="7B9F28DD"/>
    <w:rsid w:val="7BBF3DB1"/>
    <w:rsid w:val="7C981154"/>
    <w:rsid w:val="7C9B635C"/>
    <w:rsid w:val="7D466F15"/>
    <w:rsid w:val="7D805BC0"/>
    <w:rsid w:val="7D9A0522"/>
    <w:rsid w:val="7DAE7CF4"/>
    <w:rsid w:val="7E125364"/>
    <w:rsid w:val="7EB03B57"/>
    <w:rsid w:val="7FD3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9"/>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4">
    <w:name w:val="heading 2"/>
    <w:basedOn w:val="1"/>
    <w:next w:val="1"/>
    <w:link w:val="40"/>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1"/>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3"/>
    <w:qFormat/>
    <w:uiPriority w:val="1"/>
    <w:pPr>
      <w:autoSpaceDE w:val="0"/>
      <w:autoSpaceDN w:val="0"/>
      <w:adjustRightInd w:val="0"/>
      <w:spacing w:before="162"/>
      <w:ind w:left="120"/>
      <w:jc w:val="left"/>
    </w:pPr>
    <w:rPr>
      <w:rFonts w:ascii="宋体" w:hAnsi="Times New Roman"/>
      <w:kern w:val="0"/>
      <w:sz w:val="20"/>
      <w:szCs w:val="21"/>
    </w:rPr>
  </w:style>
  <w:style w:type="paragraph" w:styleId="6">
    <w:name w:val="annotation text"/>
    <w:basedOn w:val="1"/>
    <w:link w:val="42"/>
    <w:unhideWhenUsed/>
    <w:qFormat/>
    <w:uiPriority w:val="99"/>
    <w:pPr>
      <w:jc w:val="left"/>
    </w:pPr>
  </w:style>
  <w:style w:type="paragraph" w:styleId="7">
    <w:name w:val="Date"/>
    <w:basedOn w:val="1"/>
    <w:next w:val="1"/>
    <w:link w:val="44"/>
    <w:unhideWhenUsed/>
    <w:qFormat/>
    <w:uiPriority w:val="99"/>
    <w:pPr>
      <w:ind w:left="100" w:leftChars="2500"/>
    </w:pPr>
  </w:style>
  <w:style w:type="paragraph" w:styleId="8">
    <w:name w:val="Balloon Text"/>
    <w:basedOn w:val="1"/>
    <w:link w:val="45"/>
    <w:unhideWhenUsed/>
    <w:qFormat/>
    <w:uiPriority w:val="99"/>
    <w:rPr>
      <w:kern w:val="0"/>
      <w:sz w:val="18"/>
      <w:szCs w:val="18"/>
    </w:rPr>
  </w:style>
  <w:style w:type="paragraph" w:styleId="9">
    <w:name w:val="footer"/>
    <w:basedOn w:val="1"/>
    <w:link w:val="46"/>
    <w:unhideWhenUsed/>
    <w:qFormat/>
    <w:uiPriority w:val="99"/>
    <w:pPr>
      <w:tabs>
        <w:tab w:val="center" w:pos="4153"/>
        <w:tab w:val="right" w:pos="8306"/>
      </w:tabs>
      <w:snapToGrid w:val="0"/>
      <w:jc w:val="left"/>
    </w:pPr>
    <w:rPr>
      <w:kern w:val="0"/>
      <w:sz w:val="18"/>
      <w:szCs w:val="18"/>
    </w:rPr>
  </w:style>
  <w:style w:type="paragraph" w:styleId="10">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31"/>
    <w:semiHidden/>
    <w:unhideWhenUsed/>
    <w:qFormat/>
    <w:uiPriority w:val="99"/>
    <w:pPr>
      <w:snapToGrid w:val="0"/>
      <w:jc w:val="left"/>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48"/>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rFonts w:ascii="Times New Roman" w:hAnsi="Times New Roman" w:eastAsia="宋体" w:cs="Times New Roman"/>
      <w:b/>
      <w:bCs/>
    </w:rPr>
  </w:style>
  <w:style w:type="character" w:styleId="19">
    <w:name w:val="Hyperlink"/>
    <w:unhideWhenUsed/>
    <w:qFormat/>
    <w:uiPriority w:val="99"/>
    <w:rPr>
      <w:rFonts w:ascii="Times New Roman" w:hAnsi="Times New Roman" w:eastAsia="宋体" w:cs="Times New Roman"/>
      <w:color w:val="0000FF"/>
      <w:u w:val="single"/>
    </w:rPr>
  </w:style>
  <w:style w:type="character" w:styleId="20">
    <w:name w:val="annotation reference"/>
    <w:unhideWhenUsed/>
    <w:qFormat/>
    <w:uiPriority w:val="99"/>
    <w:rPr>
      <w:rFonts w:ascii="Times New Roman" w:hAnsi="Times New Roman" w:eastAsia="宋体" w:cs="Times New Roman"/>
      <w:sz w:val="21"/>
      <w:szCs w:val="21"/>
    </w:rPr>
  </w:style>
  <w:style w:type="character" w:styleId="21">
    <w:name w:val="footnote reference"/>
    <w:semiHidden/>
    <w:unhideWhenUsed/>
    <w:qFormat/>
    <w:uiPriority w:val="99"/>
    <w:rPr>
      <w:rFonts w:ascii="Times New Roman" w:hAnsi="Times New Roman" w:eastAsia="宋体" w:cs="Times New Roman"/>
      <w:vertAlign w:val="superscript"/>
    </w:rPr>
  </w:style>
  <w:style w:type="character" w:customStyle="1" w:styleId="22">
    <w:name w:val="正文文本 字符"/>
    <w:link w:val="2"/>
    <w:qFormat/>
    <w:uiPriority w:val="1"/>
    <w:rPr>
      <w:rFonts w:ascii="宋体" w:hAnsi="Times New Roman" w:eastAsia="宋体" w:cs="Times New Roman"/>
      <w:kern w:val="0"/>
      <w:sz w:val="20"/>
      <w:szCs w:val="21"/>
    </w:rPr>
  </w:style>
  <w:style w:type="character" w:customStyle="1" w:styleId="23">
    <w:name w:val="标题 1 字符"/>
    <w:link w:val="3"/>
    <w:qFormat/>
    <w:uiPriority w:val="1"/>
    <w:rPr>
      <w:rFonts w:ascii="黑体" w:hAnsi="Times New Roman" w:eastAsia="黑体" w:cs="Times New Roman"/>
      <w:b/>
      <w:bCs/>
      <w:kern w:val="0"/>
      <w:sz w:val="36"/>
      <w:szCs w:val="36"/>
    </w:rPr>
  </w:style>
  <w:style w:type="character" w:customStyle="1" w:styleId="24">
    <w:name w:val="标题 2 字符"/>
    <w:link w:val="4"/>
    <w:qFormat/>
    <w:uiPriority w:val="9"/>
    <w:rPr>
      <w:rFonts w:ascii="Cambria" w:hAnsi="Cambria" w:eastAsia="宋体" w:cs="Times New Roman"/>
      <w:b/>
      <w:bCs/>
      <w:kern w:val="0"/>
      <w:sz w:val="32"/>
      <w:szCs w:val="32"/>
    </w:rPr>
  </w:style>
  <w:style w:type="character" w:customStyle="1" w:styleId="25">
    <w:name w:val="标题 3 字符"/>
    <w:link w:val="5"/>
    <w:qFormat/>
    <w:uiPriority w:val="1"/>
    <w:rPr>
      <w:rFonts w:ascii="宋体" w:hAnsi="Times New Roman" w:eastAsia="宋体" w:cs="Times New Roman"/>
      <w:b/>
      <w:bCs/>
      <w:kern w:val="0"/>
      <w:sz w:val="20"/>
      <w:szCs w:val="21"/>
    </w:rPr>
  </w:style>
  <w:style w:type="character" w:customStyle="1" w:styleId="26">
    <w:name w:val="批注文字 字符"/>
    <w:link w:val="6"/>
    <w:qFormat/>
    <w:uiPriority w:val="99"/>
    <w:rPr>
      <w:rFonts w:ascii="Times New Roman" w:hAnsi="Times New Roman" w:eastAsia="宋体" w:cs="Times New Roman"/>
    </w:rPr>
  </w:style>
  <w:style w:type="character" w:customStyle="1" w:styleId="27">
    <w:name w:val="日期 字符"/>
    <w:basedOn w:val="17"/>
    <w:link w:val="7"/>
    <w:semiHidden/>
    <w:qFormat/>
    <w:uiPriority w:val="99"/>
    <w:rPr>
      <w:rFonts w:ascii="Times New Roman" w:hAnsi="Times New Roman" w:eastAsia="宋体" w:cs="Times New Roman"/>
    </w:rPr>
  </w:style>
  <w:style w:type="character" w:customStyle="1" w:styleId="28">
    <w:name w:val="批注框文本 字符"/>
    <w:link w:val="8"/>
    <w:semiHidden/>
    <w:qFormat/>
    <w:uiPriority w:val="99"/>
    <w:rPr>
      <w:rFonts w:ascii="Times New Roman" w:hAnsi="Times New Roman" w:eastAsia="宋体" w:cs="Times New Roman"/>
      <w:kern w:val="0"/>
      <w:sz w:val="18"/>
      <w:szCs w:val="18"/>
    </w:rPr>
  </w:style>
  <w:style w:type="character" w:customStyle="1" w:styleId="29">
    <w:name w:val="页脚 字符"/>
    <w:link w:val="9"/>
    <w:qFormat/>
    <w:uiPriority w:val="99"/>
    <w:rPr>
      <w:rFonts w:ascii="Times New Roman" w:hAnsi="Times New Roman" w:eastAsia="宋体" w:cs="Times New Roman"/>
      <w:kern w:val="0"/>
      <w:sz w:val="18"/>
      <w:szCs w:val="18"/>
    </w:rPr>
  </w:style>
  <w:style w:type="character" w:customStyle="1" w:styleId="30">
    <w:name w:val="页眉 字符"/>
    <w:link w:val="10"/>
    <w:qFormat/>
    <w:uiPriority w:val="99"/>
    <w:rPr>
      <w:rFonts w:ascii="Times New Roman" w:hAnsi="Times New Roman" w:eastAsia="宋体" w:cs="Times New Roman"/>
      <w:kern w:val="0"/>
      <w:sz w:val="18"/>
      <w:szCs w:val="18"/>
    </w:rPr>
  </w:style>
  <w:style w:type="character" w:customStyle="1" w:styleId="31">
    <w:name w:val="脚注文本 字符1"/>
    <w:link w:val="11"/>
    <w:qFormat/>
    <w:uiPriority w:val="99"/>
    <w:rPr>
      <w:rFonts w:ascii="Times New Roman" w:hAnsi="Times New Roman" w:eastAsia="宋体" w:cs="Times New Roman"/>
      <w:sz w:val="18"/>
      <w:szCs w:val="18"/>
    </w:rPr>
  </w:style>
  <w:style w:type="character" w:customStyle="1" w:styleId="32">
    <w:name w:val="批注主题 字符"/>
    <w:link w:val="14"/>
    <w:semiHidden/>
    <w:qFormat/>
    <w:uiPriority w:val="99"/>
    <w:rPr>
      <w:rFonts w:ascii="Times New Roman" w:hAnsi="Times New Roman" w:eastAsia="宋体" w:cs="Times New Roman"/>
      <w:b/>
      <w:bCs/>
    </w:rPr>
  </w:style>
  <w:style w:type="character" w:customStyle="1" w:styleId="33">
    <w:name w:val="脚注文本 字符"/>
    <w:semiHidden/>
    <w:qFormat/>
    <w:uiPriority w:val="99"/>
    <w:rPr>
      <w:rFonts w:ascii="Times New Roman" w:hAnsi="Times New Roman" w:eastAsia="宋体" w:cs="Times New Roman"/>
      <w:kern w:val="2"/>
      <w:sz w:val="18"/>
      <w:szCs w:val="18"/>
    </w:rPr>
  </w:style>
  <w:style w:type="paragraph" w:customStyle="1" w:styleId="3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styleId="35">
    <w:name w:val="List Paragraph"/>
    <w:basedOn w:val="1"/>
    <w:qFormat/>
    <w:uiPriority w:val="72"/>
    <w:pPr>
      <w:ind w:firstLine="420" w:firstLineChars="200"/>
    </w:p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7">
    <w:name w:val="_Style 35"/>
    <w:semiHidden/>
    <w:qFormat/>
    <w:uiPriority w:val="99"/>
    <w:rPr>
      <w:rFonts w:ascii="Times New Roman" w:hAnsi="Times New Roman" w:eastAsia="宋体" w:cs="Times New Roman"/>
      <w:kern w:val="2"/>
      <w:sz w:val="21"/>
      <w:szCs w:val="22"/>
      <w:lang w:val="en-US" w:eastAsia="zh-CN" w:bidi="ar-SA"/>
    </w:rPr>
  </w:style>
  <w:style w:type="paragraph" w:customStyle="1" w:styleId="38">
    <w:name w:val="_Style 33"/>
    <w:semiHidden/>
    <w:qFormat/>
    <w:uiPriority w:val="99"/>
    <w:rPr>
      <w:rFonts w:ascii="Times New Roman" w:hAnsi="Times New Roman" w:eastAsia="宋体" w:cs="Times New Roman"/>
      <w:kern w:val="2"/>
      <w:sz w:val="21"/>
      <w:szCs w:val="22"/>
      <w:lang w:val="en-US" w:eastAsia="zh-CN" w:bidi="ar-SA"/>
    </w:rPr>
  </w:style>
  <w:style w:type="character" w:customStyle="1" w:styleId="39">
    <w:name w:val="标题 1 Char"/>
    <w:link w:val="3"/>
    <w:qFormat/>
    <w:uiPriority w:val="1"/>
    <w:rPr>
      <w:rFonts w:ascii="黑体" w:hAnsi="Times New Roman" w:eastAsia="黑体" w:cs="黑体"/>
      <w:b/>
      <w:bCs/>
      <w:kern w:val="0"/>
      <w:sz w:val="36"/>
      <w:szCs w:val="36"/>
    </w:rPr>
  </w:style>
  <w:style w:type="character" w:customStyle="1" w:styleId="40">
    <w:name w:val="标题 2 Char"/>
    <w:link w:val="4"/>
    <w:qFormat/>
    <w:uiPriority w:val="9"/>
    <w:rPr>
      <w:rFonts w:ascii="Cambria" w:hAnsi="Cambria" w:eastAsia="宋体" w:cs="Times New Roman"/>
      <w:b/>
      <w:bCs/>
      <w:sz w:val="32"/>
      <w:szCs w:val="32"/>
    </w:rPr>
  </w:style>
  <w:style w:type="character" w:customStyle="1" w:styleId="41">
    <w:name w:val="标题 3 Char"/>
    <w:link w:val="5"/>
    <w:qFormat/>
    <w:uiPriority w:val="1"/>
    <w:rPr>
      <w:rFonts w:ascii="宋体" w:hAnsi="Times New Roman" w:eastAsia="宋体" w:cs="宋体"/>
      <w:b/>
      <w:bCs/>
      <w:kern w:val="0"/>
      <w:szCs w:val="21"/>
    </w:rPr>
  </w:style>
  <w:style w:type="character" w:customStyle="1" w:styleId="42">
    <w:name w:val="批注文字 Char"/>
    <w:link w:val="6"/>
    <w:qFormat/>
    <w:uiPriority w:val="99"/>
    <w:rPr>
      <w:rFonts w:ascii="Times New Roman" w:hAnsi="Times New Roman" w:eastAsia="宋体" w:cs="Times New Roman"/>
      <w:kern w:val="2"/>
      <w:sz w:val="21"/>
      <w:szCs w:val="22"/>
    </w:rPr>
  </w:style>
  <w:style w:type="character" w:customStyle="1" w:styleId="43">
    <w:name w:val="正文文本 Char"/>
    <w:link w:val="2"/>
    <w:qFormat/>
    <w:uiPriority w:val="1"/>
    <w:rPr>
      <w:rFonts w:ascii="宋体" w:hAnsi="Times New Roman" w:eastAsia="宋体" w:cs="宋体"/>
      <w:kern w:val="0"/>
      <w:szCs w:val="21"/>
    </w:rPr>
  </w:style>
  <w:style w:type="character" w:customStyle="1" w:styleId="44">
    <w:name w:val="日期 Char"/>
    <w:basedOn w:val="17"/>
    <w:link w:val="7"/>
    <w:semiHidden/>
    <w:qFormat/>
    <w:uiPriority w:val="99"/>
    <w:rPr>
      <w:rFonts w:ascii="Times New Roman" w:hAnsi="Times New Roman" w:eastAsia="宋体" w:cs="Times New Roman"/>
    </w:rPr>
  </w:style>
  <w:style w:type="character" w:customStyle="1" w:styleId="45">
    <w:name w:val="批注框文本 Char"/>
    <w:link w:val="8"/>
    <w:semiHidden/>
    <w:qFormat/>
    <w:uiPriority w:val="99"/>
    <w:rPr>
      <w:rFonts w:ascii="Times New Roman" w:hAnsi="Times New Roman" w:eastAsia="宋体" w:cs="Times New Roman"/>
      <w:sz w:val="18"/>
      <w:szCs w:val="18"/>
    </w:rPr>
  </w:style>
  <w:style w:type="character" w:customStyle="1" w:styleId="46">
    <w:name w:val="页脚 Char"/>
    <w:link w:val="9"/>
    <w:qFormat/>
    <w:uiPriority w:val="99"/>
    <w:rPr>
      <w:rFonts w:ascii="Times New Roman" w:hAnsi="Times New Roman" w:eastAsia="宋体" w:cs="Times New Roman"/>
      <w:sz w:val="18"/>
      <w:szCs w:val="18"/>
    </w:rPr>
  </w:style>
  <w:style w:type="character" w:customStyle="1" w:styleId="47">
    <w:name w:val="页眉 Char"/>
    <w:link w:val="10"/>
    <w:qFormat/>
    <w:uiPriority w:val="99"/>
    <w:rPr>
      <w:rFonts w:ascii="Times New Roman" w:hAnsi="Times New Roman" w:eastAsia="宋体" w:cs="Times New Roman"/>
      <w:sz w:val="18"/>
      <w:szCs w:val="18"/>
    </w:rPr>
  </w:style>
  <w:style w:type="character" w:customStyle="1" w:styleId="48">
    <w:name w:val="批注主题 Char"/>
    <w:link w:val="14"/>
    <w:semiHidden/>
    <w:qFormat/>
    <w:uiPriority w:val="99"/>
    <w:rPr>
      <w:rFonts w:ascii="Times New Roman" w:hAnsi="Times New Roman" w:eastAsia="宋体" w:cs="Times New Roman"/>
      <w:b/>
      <w:bCs/>
      <w:kern w:val="2"/>
      <w:sz w:val="21"/>
      <w:szCs w:val="22"/>
    </w:rPr>
  </w:style>
  <w:style w:type="paragraph" w:customStyle="1" w:styleId="49">
    <w:name w:val="_Style 27"/>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22143</Words>
  <Characters>23479</Characters>
  <Lines>37</Lines>
  <Paragraphs>10</Paragraphs>
  <TotalTime>0</TotalTime>
  <ScaleCrop>false</ScaleCrop>
  <LinksUpToDate>false</LinksUpToDate>
  <CharactersWithSpaces>23503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jsyh</cp:lastModifiedBy>
  <cp:lastPrinted>2021-07-01T12:12:00Z</cp:lastPrinted>
  <dcterms:modified xsi:type="dcterms:W3CDTF">2025-09-02T09:20:53Z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57DE483545F742868D80F7217A5BA398</vt:lpwstr>
  </property>
</Properties>
</file>