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恒源封闭债权224期优选2年</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8"/>
          <w:szCs w:val="28"/>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Calibri" w:hAnsi="Calibri" w:eastAsia="楷体" w:cs="Calibri"/>
          <w:b/>
          <w:bCs w:val="0"/>
          <w:color w:val="auto"/>
          <w:sz w:val="21"/>
          <w:szCs w:val="21"/>
        </w:rPr>
        <w:t>①</w:t>
      </w:r>
      <w:r>
        <w:rPr>
          <w:rFonts w:hint="eastAsia" w:ascii="楷体" w:hAnsi="楷体" w:eastAsia="楷体"/>
          <w:b/>
          <w:bCs w:val="0"/>
          <w:color w:val="auto"/>
          <w:sz w:val="21"/>
          <w:szCs w:val="21"/>
        </w:rPr>
        <w:t>融资方还款履约能力可能的变化导致的信用风险。</w:t>
      </w:r>
      <w:r>
        <w:rPr>
          <w:rFonts w:hint="default" w:ascii="Calibri" w:hAnsi="Calibri" w:eastAsia="楷体" w:cs="Calibri"/>
          <w:b/>
          <w:bCs w:val="0"/>
          <w:color w:val="auto"/>
          <w:sz w:val="21"/>
          <w:szCs w:val="21"/>
        </w:rPr>
        <w:t>②</w:t>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val="0"/>
          <w:color w:val="auto"/>
          <w:sz w:val="21"/>
          <w:szCs w:val="21"/>
        </w:rPr>
        <w:t>③</w:t>
      </w:r>
      <w:r>
        <w:rPr>
          <w:rFonts w:hint="eastAsia" w:ascii="楷体" w:hAnsi="楷体" w:eastAsia="楷体"/>
          <w:b/>
          <w:bCs w:val="0"/>
          <w:color w:val="auto"/>
          <w:sz w:val="21"/>
          <w:szCs w:val="21"/>
        </w:rPr>
        <w:t>保证人未履行保证义务的风险等。</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股票投资的特殊风险</w:t>
      </w:r>
    </w:p>
    <w:p>
      <w:pPr>
        <w:numPr>
          <w:ilvl w:val="0"/>
          <w:numId w:val="0"/>
        </w:numPr>
        <w:tabs>
          <w:tab w:val="left" w:pos="742"/>
        </w:tabs>
        <w:ind w:left="0" w:leftChars="0" w:firstLine="422" w:firstLineChars="200"/>
        <w:rPr>
          <w:rFonts w:hint="eastAsia" w:ascii="楷体" w:hAnsi="楷体" w:eastAsia="楷体"/>
          <w:b/>
          <w:bCs w:val="0"/>
          <w:color w:val="auto"/>
          <w:sz w:val="21"/>
          <w:szCs w:val="21"/>
        </w:rPr>
      </w:pPr>
      <w:r>
        <w:rPr>
          <w:rFonts w:hint="default" w:ascii="楷体" w:hAnsi="楷体" w:eastAsia="楷体"/>
          <w:b/>
          <w:bCs w:val="0"/>
          <w:color w:val="auto"/>
          <w:sz w:val="21"/>
          <w:szCs w:val="21"/>
        </w:rPr>
        <w:t>①</w:t>
      </w:r>
      <w:r>
        <w:rPr>
          <w:rFonts w:hint="eastAsia" w:ascii="楷体" w:hAnsi="楷体" w:eastAsia="楷体"/>
          <w:b/>
          <w:bCs w:val="0"/>
          <w:color w:val="auto"/>
          <w:sz w:val="21"/>
          <w:szCs w:val="21"/>
        </w:rPr>
        <w:t>国家货币政策、财政政策、产业政策等的变化对证券市场产生一定的影响，导致市场价格水平波动的风险。</w:t>
      </w:r>
      <w:r>
        <w:rPr>
          <w:rFonts w:hint="default" w:ascii="楷体" w:hAnsi="楷体" w:eastAsia="楷体"/>
          <w:b/>
          <w:bCs w:val="0"/>
          <w:color w:val="auto"/>
          <w:sz w:val="21"/>
          <w:szCs w:val="21"/>
        </w:rPr>
        <w:t>②</w:t>
      </w:r>
      <w:r>
        <w:rPr>
          <w:rFonts w:hint="eastAsia" w:ascii="楷体" w:hAnsi="楷体" w:eastAsia="楷体"/>
          <w:b/>
          <w:bCs w:val="0"/>
          <w:color w:val="auto"/>
          <w:sz w:val="21"/>
          <w:szCs w:val="21"/>
        </w:rPr>
        <w:t>宏观经济运行周期性波动，对股票市场的收益水平产生影响的风险。</w:t>
      </w:r>
      <w:r>
        <w:rPr>
          <w:rFonts w:hint="default" w:ascii="楷体" w:hAnsi="楷体" w:eastAsia="楷体"/>
          <w:b/>
          <w:bCs w:val="0"/>
          <w:color w:val="auto"/>
          <w:sz w:val="21"/>
          <w:szCs w:val="21"/>
        </w:rPr>
        <w:t>③</w:t>
      </w:r>
      <w:r>
        <w:rPr>
          <w:rFonts w:hint="eastAsia" w:ascii="楷体" w:hAnsi="楷体" w:eastAsia="楷体"/>
          <w:b/>
          <w:bCs w:val="0"/>
          <w:color w:val="auto"/>
          <w:sz w:val="21"/>
          <w:szCs w:val="21"/>
        </w:rPr>
        <w:t>上市公司的经营状况受多种因素影响，如市场、技术、竞争、管理、财务等都会导致公司盈利发生变化，从而导致股票价格变动的风险。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highlight w:val="none"/>
        </w:rPr>
      </w:pPr>
      <w:r>
        <w:rPr>
          <w:rFonts w:hint="eastAsia" w:ascii="楷体" w:hAnsi="楷体" w:eastAsia="楷体"/>
          <w:color w:val="auto"/>
          <w:sz w:val="21"/>
          <w:szCs w:val="21"/>
          <w:highlight w:val="none"/>
        </w:rPr>
        <w:t>本理财产品类型为</w:t>
      </w:r>
      <w:r>
        <w:rPr>
          <w:rFonts w:hint="eastAsia" w:ascii="楷体" w:hAnsi="楷体" w:eastAsia="楷体" w:cs="Calibri"/>
          <w:b/>
          <w:color w:val="auto"/>
          <w:sz w:val="21"/>
          <w:szCs w:val="21"/>
          <w:highlight w:val="none"/>
          <w:u w:val="single"/>
        </w:rPr>
        <w:t>固定收益类、公募、封闭式</w:t>
      </w:r>
      <w:r>
        <w:rPr>
          <w:rFonts w:hint="eastAsia" w:ascii="楷体" w:hAnsi="楷体" w:eastAsia="楷体"/>
          <w:color w:val="auto"/>
          <w:sz w:val="21"/>
          <w:szCs w:val="21"/>
          <w:highlight w:val="none"/>
        </w:rPr>
        <w:t>，产品管理人对本理财产品的内部风险评级为</w:t>
      </w:r>
      <w:r>
        <w:rPr>
          <w:rFonts w:hint="eastAsia" w:ascii="楷体" w:hAnsi="楷体" w:eastAsia="楷体"/>
          <w:b/>
          <w:color w:val="auto"/>
          <w:sz w:val="21"/>
          <w:szCs w:val="21"/>
          <w:highlight w:val="none"/>
          <w:u w:val="single"/>
        </w:rPr>
        <w:t>★★二级，适合</w:t>
      </w:r>
      <w:r>
        <w:rPr>
          <w:rFonts w:hint="eastAsia" w:ascii="楷体" w:hAnsi="楷体" w:eastAsia="楷体" w:cs="Calibri"/>
          <w:b/>
          <w:color w:val="auto"/>
          <w:sz w:val="21"/>
          <w:szCs w:val="21"/>
          <w:highlight w:val="none"/>
          <w:u w:val="single"/>
        </w:rPr>
        <w:t>中低风险型</w:t>
      </w:r>
      <w:r>
        <w:rPr>
          <w:rFonts w:hint="eastAsia" w:ascii="楷体" w:hAnsi="楷体" w:eastAsia="楷体"/>
          <w:b/>
          <w:color w:val="auto"/>
          <w:sz w:val="21"/>
          <w:szCs w:val="21"/>
          <w:highlight w:val="none"/>
          <w:u w:val="single"/>
        </w:rPr>
        <w:t>投资者</w:t>
      </w:r>
      <w:r>
        <w:rPr>
          <w:rFonts w:hint="eastAsia" w:ascii="楷体" w:hAnsi="楷体" w:eastAsia="楷体"/>
          <w:color w:val="auto"/>
          <w:sz w:val="21"/>
          <w:szCs w:val="21"/>
          <w:highlight w:val="none"/>
          <w:u w:val="single"/>
        </w:rPr>
        <w:t>。</w:t>
      </w:r>
      <w:r>
        <w:rPr>
          <w:rFonts w:hint="eastAsia" w:ascii="楷体" w:hAnsi="楷体" w:eastAsia="楷体" w:cs="Calibri"/>
          <w:b/>
          <w:color w:val="auto"/>
          <w:sz w:val="21"/>
          <w:szCs w:val="21"/>
          <w:highlight w:val="none"/>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r>
        <w:rPr>
          <w:rFonts w:hint="eastAsia" w:ascii="楷体" w:hAnsi="楷体" w:eastAsia="楷体"/>
          <w:b/>
          <w:color w:val="auto"/>
          <w:sz w:val="21"/>
          <w:szCs w:val="21"/>
        </w:rPr>
        <w:t>风险揭示方：苏银理财有限责任公司</w:t>
      </w:r>
    </w:p>
    <w:p>
      <w:pPr>
        <w:pStyle w:val="13"/>
        <w:numPr>
          <w:ilvl w:val="-1"/>
          <w:numId w:val="0"/>
        </w:numPr>
        <w:spacing w:before="0" w:beforeAutospacing="0" w:after="0" w:afterAutospacing="0" w:line="360" w:lineRule="auto"/>
        <w:ind w:left="0" w:firstLine="0"/>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ind w:firstLine="315" w:firstLineChars="150"/>
        <w:jc w:val="both"/>
        <w:rPr>
          <w:rFonts w:hint="eastAsia" w:ascii="楷体" w:hAnsi="楷体" w:eastAsia="楷体"/>
          <w:color w:val="auto"/>
          <w:sz w:val="21"/>
          <w:szCs w:val="21"/>
        </w:rPr>
      </w:pPr>
    </w:p>
    <w:p>
      <w:pPr>
        <w:ind w:firstLine="315" w:firstLineChars="150"/>
        <w:jc w:val="both"/>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bookmarkStart w:id="0" w:name="_GoBack"/>
      <w:bookmarkEnd w:id="0"/>
    </w:p>
    <w:sectPr>
      <w:headerReference r:id="rId5" w:type="first"/>
      <w:headerReference r:id="rId3" w:type="default"/>
      <w:footerReference r:id="rId6" w:type="default"/>
      <w:head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pict>
        <v:shape id="图片 1" o:spid="_x0000_s1031" o:spt="75" alt="说明: 说明: C:\Users\JSYH\Desktop\苏银理财.png" type="#_x0000_t75" style="position:absolute;left:0pt;margin-left:390.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ascii="楷体" w:hAnsi="楷体" w:eastAsia="楷体"/>
        <w:b/>
      </w:rPr>
      <w:pict>
        <v:shape id="WordPictureWatermark367128483" o:spid="_x0000_s1030" o:spt="75" type="#_x0000_t75" style="position:absolute;left:0pt;margin-left:-315.7pt;margin-top:-81.05pt;height:862.85pt;width:1137.35pt;mso-position-horizontal-relative:margin;mso-position-vertical-relative:margin;z-index:-251655168;mso-width-relative:page;mso-height-relative:page;" filled="f" o:preferrelative="t" stroked="f" coordsize="21600,21600" o:allowincell="f">
          <v:path/>
          <v:fill on="f" focussize="0,0"/>
          <v:stroke on="f" joinstyle="miter"/>
          <v:imagedata r:id="rId2" gain="19661f" blacklevel="22938f" o:title="苏银理财"/>
          <o:lock v:ext="edit" aspectratio="t"/>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405D60"/>
    <w:rsid w:val="045560D9"/>
    <w:rsid w:val="045C7D7F"/>
    <w:rsid w:val="04674182"/>
    <w:rsid w:val="046874D3"/>
    <w:rsid w:val="046D4B31"/>
    <w:rsid w:val="04723C9A"/>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1570"/>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92C6B"/>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6569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12C7B"/>
    <w:rsid w:val="1502609F"/>
    <w:rsid w:val="1509116B"/>
    <w:rsid w:val="150C2883"/>
    <w:rsid w:val="150E365F"/>
    <w:rsid w:val="15144CBD"/>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61CC0"/>
    <w:rsid w:val="15D82C35"/>
    <w:rsid w:val="15DB5F39"/>
    <w:rsid w:val="15E24378"/>
    <w:rsid w:val="15E65D5D"/>
    <w:rsid w:val="15F26272"/>
    <w:rsid w:val="15F96CAC"/>
    <w:rsid w:val="16003EBB"/>
    <w:rsid w:val="1602211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D7E1E"/>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077C0"/>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8778A"/>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811EC"/>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6C12F8"/>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D178F"/>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C97B61"/>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9E0FB4"/>
    <w:rsid w:val="36B01301"/>
    <w:rsid w:val="36C162B9"/>
    <w:rsid w:val="36C22673"/>
    <w:rsid w:val="36C26CD2"/>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24E4B"/>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E69A5"/>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8841E1"/>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4E139F"/>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A16FEF"/>
    <w:rsid w:val="3DC30F37"/>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37209"/>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AA2"/>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518EF"/>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A97BB6"/>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01FDD"/>
    <w:rsid w:val="56B305D6"/>
    <w:rsid w:val="56C13D7F"/>
    <w:rsid w:val="56C66D69"/>
    <w:rsid w:val="56CA570E"/>
    <w:rsid w:val="56D92F6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4C467A"/>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781D10"/>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240F35"/>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AE5305"/>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702A2"/>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92748"/>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2D0E37"/>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6878"/>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63FC9"/>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34A72"/>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0</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2025-09-02T10:48:02Z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3D9DA4FEC1AC4898A5CD8A2776F83D6F</vt:lpwstr>
  </property>
</Properties>
</file>