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3CCE" w14:textId="3BE57F04" w:rsidR="00F3383A" w:rsidRDefault="0027070C" w:rsidP="00F3383A">
      <w:pPr>
        <w:adjustRightInd w:val="0"/>
        <w:snapToGrid w:val="0"/>
        <w:spacing w:after="110"/>
        <w:jc w:val="center"/>
        <w:rPr>
          <w:rFonts w:ascii="新宋体" w:eastAsia="新宋体" w:hAnsi="新宋体"/>
          <w:b/>
          <w:color w:val="000000"/>
          <w:sz w:val="30"/>
          <w:szCs w:val="30"/>
        </w:rPr>
      </w:pPr>
      <w:r>
        <w:rPr>
          <w:rFonts w:ascii="新宋体" w:eastAsia="新宋体" w:hAnsi="新宋体" w:hint="eastAsia"/>
          <w:b/>
          <w:color w:val="000000"/>
          <w:sz w:val="30"/>
          <w:szCs w:val="30"/>
        </w:rPr>
        <w:t>青银理财</w:t>
      </w:r>
      <w:r w:rsidR="00F3383A" w:rsidRPr="00F3383A">
        <w:rPr>
          <w:rFonts w:ascii="新宋体" w:eastAsia="新宋体" w:hAnsi="新宋体"/>
          <w:b/>
          <w:color w:val="000000"/>
          <w:sz w:val="30"/>
          <w:szCs w:val="30"/>
        </w:rPr>
        <w:t>理财产品投资协议书</w:t>
      </w:r>
    </w:p>
    <w:p w14:paraId="3F8BBD84" w14:textId="77777777" w:rsidR="005D1A7D" w:rsidRPr="00F3383A" w:rsidRDefault="005D1A7D" w:rsidP="005D1A7D">
      <w:pPr>
        <w:adjustRightInd w:val="0"/>
        <w:snapToGrid w:val="0"/>
        <w:jc w:val="center"/>
        <w:rPr>
          <w:rFonts w:ascii="新宋体" w:eastAsia="新宋体" w:hAnsi="新宋体"/>
          <w:b/>
          <w:sz w:val="30"/>
          <w:szCs w:val="30"/>
        </w:rPr>
      </w:pPr>
    </w:p>
    <w:p w14:paraId="048967DD"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一、重要声明</w:t>
      </w:r>
    </w:p>
    <w:p w14:paraId="266231C0" w14:textId="7923F99E"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本投资协议书与</w:t>
      </w:r>
      <w:r w:rsidRPr="00F3383A">
        <w:rPr>
          <w:rFonts w:ascii="新宋体" w:eastAsia="新宋体" w:hAnsi="新宋体" w:hint="eastAsia"/>
          <w:color w:val="000000"/>
          <w:szCs w:val="21"/>
        </w:rPr>
        <w:t>产品说明书、风险揭示书、客户权益须知等为本理财计划销售协议不可分割的组成部分。购买理财产品前，您</w:t>
      </w:r>
      <w:r w:rsidR="00F6120C">
        <w:rPr>
          <w:rFonts w:ascii="新宋体" w:eastAsia="新宋体" w:hAnsi="新宋体" w:hint="eastAsia"/>
          <w:color w:val="000000"/>
          <w:szCs w:val="21"/>
        </w:rPr>
        <w:t>/贵公司</w:t>
      </w:r>
      <w:r w:rsidRPr="00F3383A">
        <w:rPr>
          <w:rFonts w:ascii="新宋体" w:eastAsia="新宋体" w:hAnsi="新宋体" w:hint="eastAsia"/>
          <w:color w:val="000000"/>
          <w:szCs w:val="21"/>
        </w:rPr>
        <w:t>应仔细阅读上述文件中的各项条款，确保自己完全理解本理财计划的产品性质、资金投向、各类风险等基本情况，在慎重考虑后自行决定购买与自身风险承受能力和理财需求相匹配的理财产品。</w:t>
      </w:r>
    </w:p>
    <w:p w14:paraId="201B4986" w14:textId="2E2C1640" w:rsidR="00F3383A" w:rsidRPr="00F3383A" w:rsidRDefault="00F3383A" w:rsidP="00F3383A">
      <w:pPr>
        <w:adjustRightInd w:val="0"/>
        <w:snapToGrid w:val="0"/>
        <w:spacing w:line="360" w:lineRule="auto"/>
        <w:ind w:firstLineChars="200" w:firstLine="422"/>
        <w:rPr>
          <w:rFonts w:ascii="新宋体" w:eastAsia="新宋体" w:hAnsi="新宋体"/>
          <w:b/>
          <w:color w:val="000000"/>
          <w:szCs w:val="21"/>
        </w:rPr>
      </w:pPr>
      <w:r w:rsidRPr="00F3383A">
        <w:rPr>
          <w:rFonts w:ascii="新宋体" w:eastAsia="新宋体" w:hAnsi="新宋体" w:hint="eastAsia"/>
          <w:b/>
          <w:color w:val="000000"/>
          <w:szCs w:val="21"/>
        </w:rPr>
        <w:t>本理财计划与存款有明显区别。理财非存款、产品有风险、投资须谨慎。青银理财有限责任公司（以下简称“青银理财”）不保证本理财计划的本金及收益。本理财计划在发生不利情况下（可能但不一定发生），客户可能无法获得收益，并面临损失本金的风险。您</w:t>
      </w:r>
      <w:r w:rsidR="00F6120C">
        <w:rPr>
          <w:rFonts w:ascii="新宋体" w:eastAsia="新宋体" w:hAnsi="新宋体" w:hint="eastAsia"/>
          <w:b/>
          <w:color w:val="000000"/>
          <w:szCs w:val="21"/>
        </w:rPr>
        <w:t>/贵公司</w:t>
      </w:r>
      <w:r w:rsidRPr="00F3383A">
        <w:rPr>
          <w:rFonts w:ascii="新宋体" w:eastAsia="新宋体" w:hAnsi="新宋体" w:hint="eastAsia"/>
          <w:b/>
          <w:color w:val="000000"/>
          <w:szCs w:val="21"/>
        </w:rPr>
        <w:t>应充分认识投资风险。</w:t>
      </w:r>
    </w:p>
    <w:p w14:paraId="51E06B0D"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二、理财产品投资者的权利义务</w:t>
      </w:r>
    </w:p>
    <w:p w14:paraId="2977B59B"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投资者购买本理财产品的行为即视为对理财产品合同的承认和接受，理财产品投资者自取得依据理财产品合同发行的理财产品份额，即成为理财产品投资者和理财产品合同当事人。理财产品投资者作为当事人并不以在理财产品合同上书面签章或签字为必要条件。</w:t>
      </w:r>
    </w:p>
    <w:p w14:paraId="707EB3A7"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（一）理财产品投资者的权利：</w:t>
      </w:r>
    </w:p>
    <w:p w14:paraId="47BEFE49"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1．按理财产品合同的约定取得理财收益；</w:t>
      </w:r>
    </w:p>
    <w:p w14:paraId="052E10AA" w14:textId="2F703221"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2．按理财产品合同的约定查询获得公开披露的理财产品信息资料</w:t>
      </w:r>
      <w:r w:rsidR="004B2EC7">
        <w:rPr>
          <w:rFonts w:ascii="新宋体" w:eastAsia="新宋体" w:hAnsi="新宋体" w:hint="eastAsia"/>
          <w:color w:val="000000"/>
          <w:szCs w:val="21"/>
        </w:rPr>
        <w:t>；</w:t>
      </w:r>
    </w:p>
    <w:p w14:paraId="5341EA93" w14:textId="7E3FF680"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3．产品终止后对清算后的理财产品资产净值按理财产品持有份额比例参与分配</w:t>
      </w:r>
      <w:r w:rsidR="004B2EC7">
        <w:rPr>
          <w:rFonts w:ascii="新宋体" w:eastAsia="新宋体" w:hAnsi="新宋体" w:hint="eastAsia"/>
          <w:color w:val="000000"/>
          <w:szCs w:val="21"/>
        </w:rPr>
        <w:t>；</w:t>
      </w:r>
    </w:p>
    <w:p w14:paraId="22D0F8AC" w14:textId="76E07685"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4．要求理财产品管理人或理财产品托管人及时行使法律法规、理财产品合同所规定的义务</w:t>
      </w:r>
      <w:r w:rsidR="004B2EC7">
        <w:rPr>
          <w:rFonts w:ascii="新宋体" w:eastAsia="新宋体" w:hAnsi="新宋体" w:hint="eastAsia"/>
          <w:color w:val="000000"/>
          <w:szCs w:val="21"/>
        </w:rPr>
        <w:t>；</w:t>
      </w:r>
    </w:p>
    <w:p w14:paraId="45E0AE35" w14:textId="4137C57E" w:rsidR="00F3383A" w:rsidRDefault="00F3383A" w:rsidP="00F3383A">
      <w:pPr>
        <w:adjustRightInd w:val="0"/>
        <w:snapToGrid w:val="0"/>
        <w:spacing w:line="360" w:lineRule="auto"/>
        <w:ind w:firstLineChars="200" w:firstLine="420"/>
        <w:rPr>
          <w:rFonts w:ascii="新宋体" w:eastAsia="新宋体" w:hAnsi="新宋体"/>
          <w:color w:val="000000"/>
          <w:szCs w:val="21"/>
        </w:rPr>
      </w:pPr>
      <w:r w:rsidRPr="00F3383A">
        <w:rPr>
          <w:rFonts w:ascii="新宋体" w:eastAsia="新宋体" w:hAnsi="新宋体"/>
          <w:color w:val="000000"/>
          <w:szCs w:val="21"/>
        </w:rPr>
        <w:t>5．对理财产品管理人、理财产品托管人损害其合法权益而要求予以赔偿</w:t>
      </w:r>
      <w:r w:rsidR="004B2EC7">
        <w:rPr>
          <w:rFonts w:ascii="新宋体" w:eastAsia="新宋体" w:hAnsi="新宋体" w:hint="eastAsia"/>
          <w:color w:val="000000"/>
          <w:szCs w:val="21"/>
        </w:rPr>
        <w:t>；</w:t>
      </w:r>
    </w:p>
    <w:p w14:paraId="13A052D6" w14:textId="3E9CFA7B" w:rsidR="00A127CE" w:rsidRPr="00F3383A" w:rsidRDefault="00A127CE" w:rsidP="00A127CE">
      <w:pPr>
        <w:adjustRightInd w:val="0"/>
        <w:snapToGrid w:val="0"/>
        <w:spacing w:line="360" w:lineRule="auto"/>
        <w:ind w:firstLineChars="200" w:firstLine="420"/>
        <w:rPr>
          <w:rFonts w:ascii="新宋体" w:eastAsia="新宋体" w:hAnsi="新宋体"/>
          <w:color w:val="000000"/>
          <w:szCs w:val="21"/>
        </w:rPr>
      </w:pPr>
      <w:bookmarkStart w:id="0" w:name="_Hlk114732026"/>
      <w:r>
        <w:rPr>
          <w:rFonts w:ascii="新宋体" w:eastAsia="新宋体" w:hAnsi="新宋体"/>
          <w:color w:val="000000"/>
          <w:szCs w:val="21"/>
        </w:rPr>
        <w:t xml:space="preserve">6. </w:t>
      </w:r>
      <w:r w:rsidRPr="00A127CE">
        <w:rPr>
          <w:rFonts w:ascii="新宋体" w:eastAsia="新宋体" w:hAnsi="新宋体" w:hint="eastAsia"/>
          <w:color w:val="000000"/>
          <w:szCs w:val="21"/>
        </w:rPr>
        <w:t>在购买</w:t>
      </w:r>
      <w:r>
        <w:rPr>
          <w:rFonts w:ascii="新宋体" w:eastAsia="新宋体" w:hAnsi="新宋体" w:hint="eastAsia"/>
          <w:color w:val="000000"/>
          <w:szCs w:val="21"/>
        </w:rPr>
        <w:t>理财产品管理人</w:t>
      </w:r>
      <w:r w:rsidRPr="00A127CE">
        <w:rPr>
          <w:rFonts w:ascii="新宋体" w:eastAsia="新宋体" w:hAnsi="新宋体" w:hint="eastAsia"/>
          <w:color w:val="000000"/>
          <w:szCs w:val="21"/>
        </w:rPr>
        <w:t>销售的私募理财产品后，可以享有</w:t>
      </w:r>
      <w:r w:rsidRPr="00A127CE">
        <w:rPr>
          <w:rFonts w:ascii="新宋体" w:eastAsia="新宋体" w:hAnsi="新宋体"/>
          <w:color w:val="000000"/>
          <w:szCs w:val="21"/>
        </w:rPr>
        <w:t xml:space="preserve"> 24 小时的投资冷静期，</w:t>
      </w:r>
      <w:r w:rsidRPr="00A127CE">
        <w:rPr>
          <w:rFonts w:ascii="新宋体" w:eastAsia="新宋体" w:hAnsi="新宋体" w:hint="eastAsia"/>
          <w:color w:val="000000"/>
          <w:szCs w:val="21"/>
        </w:rPr>
        <w:t>在冷静期内，如</w:t>
      </w:r>
      <w:r>
        <w:rPr>
          <w:rFonts w:ascii="新宋体" w:eastAsia="新宋体" w:hAnsi="新宋体" w:hint="eastAsia"/>
          <w:color w:val="000000"/>
          <w:szCs w:val="21"/>
        </w:rPr>
        <w:t>投资者</w:t>
      </w:r>
      <w:r w:rsidRPr="00A127CE">
        <w:rPr>
          <w:rFonts w:ascii="新宋体" w:eastAsia="新宋体" w:hAnsi="新宋体" w:hint="eastAsia"/>
          <w:color w:val="000000"/>
          <w:szCs w:val="21"/>
        </w:rPr>
        <w:t>改变投资决定，应立即在投资冷静期内通过销售服务机构向</w:t>
      </w:r>
      <w:r>
        <w:rPr>
          <w:rFonts w:ascii="新宋体" w:eastAsia="新宋体" w:hAnsi="新宋体" w:hint="eastAsia"/>
          <w:color w:val="000000"/>
          <w:szCs w:val="21"/>
        </w:rPr>
        <w:t>理财产品管理人</w:t>
      </w:r>
      <w:r w:rsidRPr="00A127CE">
        <w:rPr>
          <w:rFonts w:ascii="新宋体" w:eastAsia="新宋体" w:hAnsi="新宋体" w:hint="eastAsia"/>
          <w:color w:val="000000"/>
          <w:szCs w:val="21"/>
        </w:rPr>
        <w:t>提出解除相应理财产品销售文件申请，</w:t>
      </w:r>
      <w:r>
        <w:rPr>
          <w:rFonts w:ascii="新宋体" w:eastAsia="新宋体" w:hAnsi="新宋体" w:hint="eastAsia"/>
          <w:color w:val="000000"/>
          <w:szCs w:val="21"/>
        </w:rPr>
        <w:t>理财产品管理人</w:t>
      </w:r>
      <w:r w:rsidRPr="00A127CE">
        <w:rPr>
          <w:rFonts w:ascii="新宋体" w:eastAsia="新宋体" w:hAnsi="新宋体" w:hint="eastAsia"/>
          <w:color w:val="000000"/>
          <w:szCs w:val="21"/>
        </w:rPr>
        <w:t>应当遵从</w:t>
      </w:r>
      <w:r>
        <w:rPr>
          <w:rFonts w:ascii="新宋体" w:eastAsia="新宋体" w:hAnsi="新宋体" w:hint="eastAsia"/>
          <w:color w:val="000000"/>
          <w:szCs w:val="21"/>
        </w:rPr>
        <w:t>投资者</w:t>
      </w:r>
      <w:r w:rsidRPr="00A127CE">
        <w:rPr>
          <w:rFonts w:ascii="新宋体" w:eastAsia="新宋体" w:hAnsi="新宋体" w:hint="eastAsia"/>
          <w:color w:val="000000"/>
          <w:szCs w:val="21"/>
        </w:rPr>
        <w:t>意愿，解除已签订的销售文件，并由销售服务机构及时退还</w:t>
      </w:r>
      <w:r>
        <w:rPr>
          <w:rFonts w:ascii="新宋体" w:eastAsia="新宋体" w:hAnsi="新宋体" w:hint="eastAsia"/>
          <w:color w:val="000000"/>
          <w:szCs w:val="21"/>
        </w:rPr>
        <w:t>投资者</w:t>
      </w:r>
      <w:r w:rsidRPr="00A127CE">
        <w:rPr>
          <w:rFonts w:ascii="新宋体" w:eastAsia="新宋体" w:hAnsi="新宋体" w:hint="eastAsia"/>
          <w:color w:val="000000"/>
          <w:szCs w:val="21"/>
        </w:rPr>
        <w:t>的全部投资款项。投资冷静期自</w:t>
      </w:r>
      <w:r>
        <w:rPr>
          <w:rFonts w:ascii="新宋体" w:eastAsia="新宋体" w:hAnsi="新宋体" w:hint="eastAsia"/>
          <w:color w:val="000000"/>
          <w:szCs w:val="21"/>
        </w:rPr>
        <w:t>投资者</w:t>
      </w:r>
      <w:r w:rsidRPr="00A127CE">
        <w:rPr>
          <w:rFonts w:ascii="新宋体" w:eastAsia="新宋体" w:hAnsi="新宋体" w:hint="eastAsia"/>
          <w:color w:val="000000"/>
          <w:szCs w:val="21"/>
        </w:rPr>
        <w:t>对理财产品销售文件签字确认后起算</w:t>
      </w:r>
      <w:r>
        <w:rPr>
          <w:rFonts w:ascii="新宋体" w:eastAsia="新宋体" w:hAnsi="新宋体" w:hint="eastAsia"/>
          <w:color w:val="000000"/>
          <w:szCs w:val="21"/>
        </w:rPr>
        <w:t>。</w:t>
      </w:r>
    </w:p>
    <w:bookmarkEnd w:id="0"/>
    <w:p w14:paraId="57880B48" w14:textId="7921B044" w:rsidR="00F3383A" w:rsidRPr="00F3383A" w:rsidRDefault="005C75C5" w:rsidP="00F3383A">
      <w:pPr>
        <w:adjustRightInd w:val="0"/>
        <w:snapToGrid w:val="0"/>
        <w:spacing w:line="360" w:lineRule="auto"/>
        <w:ind w:firstLineChars="200" w:firstLine="420"/>
        <w:rPr>
          <w:rFonts w:ascii="新宋体" w:eastAsia="新宋体" w:hAnsi="新宋体"/>
          <w:szCs w:val="21"/>
        </w:rPr>
      </w:pPr>
      <w:r>
        <w:rPr>
          <w:rFonts w:ascii="新宋体" w:eastAsia="新宋体" w:hAnsi="新宋体"/>
          <w:color w:val="000000"/>
          <w:szCs w:val="21"/>
        </w:rPr>
        <w:t>7</w:t>
      </w:r>
      <w:r w:rsidR="00F3383A" w:rsidRPr="00F3383A">
        <w:rPr>
          <w:rFonts w:ascii="新宋体" w:eastAsia="新宋体" w:hAnsi="新宋体"/>
          <w:color w:val="000000"/>
          <w:szCs w:val="21"/>
        </w:rPr>
        <w:t>．法律法规、理财产品合同规定的其它权利。</w:t>
      </w:r>
    </w:p>
    <w:p w14:paraId="1925B5CE"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（二）理财产品投资者的义务：</w:t>
      </w:r>
    </w:p>
    <w:p w14:paraId="56BC61D9"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1．遵守有关法律法规和理财产品合同的约定；</w:t>
      </w:r>
    </w:p>
    <w:p w14:paraId="14029CA6"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2．缴纳理财产品认购、申购和赎回等事宜涉及的款项及规定的费用</w:t>
      </w:r>
      <w:r w:rsidR="004B2EC7">
        <w:rPr>
          <w:rFonts w:ascii="新宋体" w:eastAsia="新宋体" w:hAnsi="新宋体" w:hint="eastAsia"/>
          <w:color w:val="000000"/>
          <w:szCs w:val="21"/>
        </w:rPr>
        <w:t>（如有）</w:t>
      </w:r>
      <w:r w:rsidRPr="00F3383A">
        <w:rPr>
          <w:rFonts w:ascii="新宋体" w:eastAsia="新宋体" w:hAnsi="新宋体"/>
          <w:color w:val="000000"/>
          <w:szCs w:val="21"/>
        </w:rPr>
        <w:t>；</w:t>
      </w:r>
    </w:p>
    <w:p w14:paraId="4340457A" w14:textId="6A479E08"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hint="eastAsia"/>
          <w:color w:val="000000"/>
          <w:szCs w:val="21"/>
        </w:rPr>
        <w:t>3．以对理财产品的投资额为限承担本理财产品亏损或者终止的有限责任</w:t>
      </w:r>
      <w:r>
        <w:rPr>
          <w:rFonts w:ascii="新宋体" w:eastAsia="新宋体" w:hAnsi="新宋体" w:hint="eastAsia"/>
          <w:color w:val="000000"/>
          <w:szCs w:val="21"/>
        </w:rPr>
        <w:t>；</w:t>
      </w:r>
    </w:p>
    <w:p w14:paraId="13B62381" w14:textId="1CE528DC"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4．不从事任何有损本理财产品及本理财产品</w:t>
      </w:r>
      <w:r w:rsidR="009410BE">
        <w:rPr>
          <w:rFonts w:ascii="新宋体" w:eastAsia="新宋体" w:hAnsi="新宋体" w:hint="eastAsia"/>
          <w:color w:val="000000"/>
          <w:szCs w:val="21"/>
        </w:rPr>
        <w:t>涉及的</w:t>
      </w:r>
      <w:r w:rsidRPr="00F3383A">
        <w:rPr>
          <w:rFonts w:ascii="新宋体" w:eastAsia="新宋体" w:hAnsi="新宋体"/>
          <w:color w:val="000000"/>
          <w:szCs w:val="21"/>
        </w:rPr>
        <w:t>其他合同当事人合法权益的活动</w:t>
      </w:r>
      <w:r w:rsidR="004B2EC7">
        <w:rPr>
          <w:rFonts w:ascii="新宋体" w:eastAsia="新宋体" w:hAnsi="新宋体" w:hint="eastAsia"/>
          <w:color w:val="000000"/>
          <w:szCs w:val="21"/>
        </w:rPr>
        <w:t>；</w:t>
      </w:r>
    </w:p>
    <w:p w14:paraId="4D7CB898" w14:textId="30567C00" w:rsidR="00F3383A" w:rsidRDefault="00F3383A" w:rsidP="00F3383A">
      <w:pPr>
        <w:adjustRightInd w:val="0"/>
        <w:snapToGrid w:val="0"/>
        <w:spacing w:line="360" w:lineRule="auto"/>
        <w:ind w:firstLineChars="200" w:firstLine="420"/>
        <w:rPr>
          <w:rFonts w:ascii="新宋体" w:eastAsia="新宋体" w:hAnsi="新宋体"/>
          <w:color w:val="000000"/>
          <w:szCs w:val="21"/>
        </w:rPr>
      </w:pPr>
      <w:r w:rsidRPr="00F3383A">
        <w:rPr>
          <w:rFonts w:ascii="新宋体" w:eastAsia="新宋体" w:hAnsi="新宋体"/>
          <w:color w:val="000000"/>
          <w:szCs w:val="21"/>
        </w:rPr>
        <w:t>5．返还其在理财投资过程中取得的不当得利；</w:t>
      </w:r>
    </w:p>
    <w:p w14:paraId="1E6D2B24" w14:textId="77777777" w:rsidR="00F77B86" w:rsidRDefault="002A6DCD" w:rsidP="00F77B86">
      <w:pPr>
        <w:adjustRightInd w:val="0"/>
        <w:snapToGrid w:val="0"/>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6</w:t>
      </w:r>
      <w:r>
        <w:rPr>
          <w:rFonts w:ascii="新宋体" w:eastAsia="新宋体" w:hAnsi="新宋体"/>
          <w:szCs w:val="21"/>
        </w:rPr>
        <w:t>.</w:t>
      </w:r>
      <w:r>
        <w:rPr>
          <w:rFonts w:ascii="新宋体" w:eastAsia="新宋体" w:hAnsi="新宋体" w:hint="eastAsia"/>
          <w:szCs w:val="21"/>
        </w:rPr>
        <w:t xml:space="preserve"> </w:t>
      </w:r>
      <w:r w:rsidRPr="002A6DCD">
        <w:rPr>
          <w:rFonts w:ascii="新宋体" w:eastAsia="新宋体" w:hAnsi="新宋体" w:hint="eastAsia"/>
          <w:szCs w:val="21"/>
        </w:rPr>
        <w:t>承诺用于认购理财计划的资金来源合法合规，不存在使用贷款、发行债券等筹集的非自有资金投资本理财产品的情形</w:t>
      </w:r>
      <w:r>
        <w:rPr>
          <w:rFonts w:ascii="新宋体" w:eastAsia="新宋体" w:hAnsi="新宋体" w:hint="eastAsia"/>
          <w:szCs w:val="21"/>
        </w:rPr>
        <w:t>；</w:t>
      </w:r>
    </w:p>
    <w:p w14:paraId="42353AFC" w14:textId="282F1E09" w:rsidR="00674BB4" w:rsidRDefault="00F77B86" w:rsidP="00674BB4">
      <w:pPr>
        <w:adjustRightInd w:val="0"/>
        <w:snapToGrid w:val="0"/>
        <w:spacing w:line="360" w:lineRule="auto"/>
        <w:ind w:firstLineChars="200" w:firstLine="420"/>
        <w:rPr>
          <w:rFonts w:ascii="新宋体" w:eastAsia="新宋体" w:hAnsi="新宋体"/>
          <w:szCs w:val="21"/>
        </w:rPr>
      </w:pPr>
      <w:bookmarkStart w:id="1" w:name="_Hlk114732114"/>
      <w:r>
        <w:rPr>
          <w:rFonts w:ascii="新宋体" w:eastAsia="新宋体" w:hAnsi="新宋体"/>
          <w:szCs w:val="21"/>
        </w:rPr>
        <w:t xml:space="preserve">7. </w:t>
      </w:r>
      <w:r w:rsidR="00674BB4" w:rsidRPr="00674BB4">
        <w:rPr>
          <w:rFonts w:ascii="新宋体" w:eastAsia="新宋体" w:hAnsi="新宋体" w:hint="eastAsia"/>
          <w:szCs w:val="21"/>
        </w:rPr>
        <w:t>保证遵守国家反洗钱法律、法规及相关政策要求，不事涉及洗钱、恐怖融资、逃税、逃废债务、套取现金等违法违规活动，积极配合</w:t>
      </w:r>
      <w:r w:rsidR="00A127CE">
        <w:rPr>
          <w:rFonts w:ascii="新宋体" w:eastAsia="新宋体" w:hAnsi="新宋体" w:hint="eastAsia"/>
          <w:szCs w:val="21"/>
        </w:rPr>
        <w:t>理财产品管理人</w:t>
      </w:r>
      <w:r w:rsidR="00674BB4" w:rsidRPr="00674BB4">
        <w:rPr>
          <w:rFonts w:ascii="新宋体" w:eastAsia="新宋体" w:hAnsi="新宋体" w:hint="eastAsia"/>
          <w:szCs w:val="21"/>
        </w:rPr>
        <w:t>和代销机构开展包括但不限于投资者身份识别、交易记录保存、</w:t>
      </w:r>
      <w:r w:rsidR="00A127CE">
        <w:rPr>
          <w:rFonts w:ascii="新宋体" w:eastAsia="新宋体" w:hAnsi="新宋体" w:hint="eastAsia"/>
          <w:szCs w:val="21"/>
        </w:rPr>
        <w:t>投资者</w:t>
      </w:r>
      <w:r w:rsidR="00674BB4" w:rsidRPr="00674BB4">
        <w:rPr>
          <w:rFonts w:ascii="新宋体" w:eastAsia="新宋体" w:hAnsi="新宋体" w:hint="eastAsia"/>
          <w:szCs w:val="21"/>
        </w:rPr>
        <w:t>身份及交易背景尽职调查、大额和可疑交易报告等各项反洗钱、反恐怖融资及非居民金融账户涉税信息有关的工作，并按</w:t>
      </w:r>
      <w:r w:rsidR="00A127CE">
        <w:rPr>
          <w:rFonts w:ascii="新宋体" w:eastAsia="新宋体" w:hAnsi="新宋体" w:hint="eastAsia"/>
          <w:szCs w:val="21"/>
        </w:rPr>
        <w:t>理财产品管理人</w:t>
      </w:r>
      <w:r w:rsidR="00674BB4" w:rsidRPr="00674BB4">
        <w:rPr>
          <w:rFonts w:ascii="新宋体" w:eastAsia="新宋体" w:hAnsi="新宋体" w:hint="eastAsia"/>
          <w:szCs w:val="21"/>
        </w:rPr>
        <w:t>或代销机构要求及时、真实、准确地提供相关证明材料。</w:t>
      </w:r>
      <w:r w:rsidR="00A127CE">
        <w:rPr>
          <w:rFonts w:ascii="新宋体" w:eastAsia="新宋体" w:hAnsi="新宋体" w:hint="eastAsia"/>
          <w:szCs w:val="21"/>
        </w:rPr>
        <w:t>投资者</w:t>
      </w:r>
      <w:r w:rsidR="00674BB4" w:rsidRPr="00674BB4">
        <w:rPr>
          <w:rFonts w:ascii="新宋体" w:eastAsia="新宋体" w:hAnsi="新宋体" w:hint="eastAsia"/>
          <w:szCs w:val="21"/>
        </w:rPr>
        <w:t>保证其不属于联合国、欧盟或美国等制裁名单，及中国政府部门或有权机关发布的涉恐及反洗钱相关风险名单内的企业；不位于被联合国、欧盟或美国等制裁的国家和地区。</w:t>
      </w:r>
    </w:p>
    <w:p w14:paraId="6DAF8FC1" w14:textId="6F3DF5BF" w:rsidR="00674BB4" w:rsidRDefault="00674BB4" w:rsidP="00674BB4">
      <w:pPr>
        <w:adjustRightInd w:val="0"/>
        <w:snapToGrid w:val="0"/>
        <w:spacing w:line="360" w:lineRule="auto"/>
        <w:ind w:firstLineChars="200" w:firstLine="420"/>
        <w:rPr>
          <w:rFonts w:ascii="新宋体" w:eastAsia="新宋体" w:hAnsi="新宋体"/>
          <w:szCs w:val="21"/>
        </w:rPr>
      </w:pPr>
      <w:r>
        <w:rPr>
          <w:rFonts w:ascii="新宋体" w:eastAsia="新宋体" w:hAnsi="新宋体" w:hint="eastAsia"/>
          <w:szCs w:val="21"/>
        </w:rPr>
        <w:t>8.</w:t>
      </w:r>
      <w:r>
        <w:rPr>
          <w:rFonts w:ascii="新宋体" w:eastAsia="新宋体" w:hAnsi="新宋体"/>
          <w:szCs w:val="21"/>
        </w:rPr>
        <w:t xml:space="preserve"> </w:t>
      </w:r>
      <w:r w:rsidRPr="00674BB4">
        <w:rPr>
          <w:rFonts w:ascii="新宋体" w:eastAsia="新宋体" w:hAnsi="新宋体" w:hint="eastAsia"/>
          <w:szCs w:val="21"/>
        </w:rPr>
        <w:t>基于</w:t>
      </w:r>
      <w:r w:rsidR="00A127CE">
        <w:rPr>
          <w:rFonts w:ascii="新宋体" w:eastAsia="新宋体" w:hAnsi="新宋体" w:hint="eastAsia"/>
          <w:szCs w:val="21"/>
        </w:rPr>
        <w:t>理财产品管理人</w:t>
      </w:r>
      <w:r w:rsidRPr="00674BB4">
        <w:rPr>
          <w:rFonts w:ascii="新宋体" w:eastAsia="新宋体" w:hAnsi="新宋体" w:hint="eastAsia"/>
          <w:szCs w:val="21"/>
        </w:rPr>
        <w:t>履行本协议、进行服务管理和风险管理、报送监管信息需要，履行反洗钱、投资者资质审核和销售适当性等法律法规和监管要求的义务，</w:t>
      </w:r>
      <w:r w:rsidR="00A127CE">
        <w:rPr>
          <w:rFonts w:ascii="新宋体" w:eastAsia="新宋体" w:hAnsi="新宋体"/>
          <w:szCs w:val="21"/>
        </w:rPr>
        <w:t>投资者</w:t>
      </w:r>
      <w:r w:rsidRPr="00674BB4">
        <w:rPr>
          <w:rFonts w:ascii="新宋体" w:eastAsia="新宋体" w:hAnsi="新宋体"/>
          <w:szCs w:val="21"/>
        </w:rPr>
        <w:t>授权</w:t>
      </w:r>
      <w:r w:rsidR="00A127CE">
        <w:rPr>
          <w:rFonts w:ascii="新宋体" w:eastAsia="新宋体" w:hAnsi="新宋体"/>
          <w:szCs w:val="21"/>
        </w:rPr>
        <w:t>理财产品管理人</w:t>
      </w:r>
      <w:r w:rsidRPr="00674BB4">
        <w:rPr>
          <w:rFonts w:ascii="新宋体" w:eastAsia="新宋体" w:hAnsi="新宋体"/>
          <w:szCs w:val="21"/>
        </w:rPr>
        <w:t>在业务办理或履行过程中收集、存储、</w:t>
      </w:r>
      <w:r w:rsidRPr="00674BB4">
        <w:rPr>
          <w:rFonts w:ascii="新宋体" w:eastAsia="新宋体" w:hAnsi="新宋体" w:hint="eastAsia"/>
          <w:szCs w:val="21"/>
        </w:rPr>
        <w:t>使用、加工、传输其向</w:t>
      </w:r>
      <w:r w:rsidR="00A127CE">
        <w:rPr>
          <w:rFonts w:ascii="新宋体" w:eastAsia="新宋体" w:hAnsi="新宋体" w:hint="eastAsia"/>
          <w:szCs w:val="21"/>
        </w:rPr>
        <w:t>理财产品管理人</w:t>
      </w:r>
      <w:r w:rsidRPr="00674BB4">
        <w:rPr>
          <w:rFonts w:ascii="新宋体" w:eastAsia="新宋体" w:hAnsi="新宋体" w:hint="eastAsia"/>
          <w:szCs w:val="21"/>
        </w:rPr>
        <w:t>或代销机构提供的客户信息、文件以及在服务过程中产生的信息、文件（以下简称“客户信息”）</w:t>
      </w:r>
      <w:r w:rsidRPr="00674BB4">
        <w:rPr>
          <w:rFonts w:ascii="新宋体" w:eastAsia="新宋体" w:hAnsi="新宋体"/>
          <w:szCs w:val="21"/>
        </w:rPr>
        <w:t xml:space="preserve"> ，同意</w:t>
      </w:r>
      <w:r w:rsidR="00A127CE">
        <w:rPr>
          <w:rFonts w:ascii="新宋体" w:eastAsia="新宋体" w:hAnsi="新宋体"/>
          <w:szCs w:val="21"/>
        </w:rPr>
        <w:t>理财产品管理人</w:t>
      </w:r>
      <w:r w:rsidRPr="00674BB4">
        <w:rPr>
          <w:rFonts w:ascii="新宋体" w:eastAsia="新宋体" w:hAnsi="新宋体" w:hint="eastAsia"/>
          <w:szCs w:val="21"/>
        </w:rPr>
        <w:t>向监管部门</w:t>
      </w:r>
      <w:r w:rsidR="00D07A50">
        <w:rPr>
          <w:rFonts w:ascii="新宋体" w:eastAsia="新宋体" w:hAnsi="新宋体" w:hint="eastAsia"/>
          <w:szCs w:val="21"/>
        </w:rPr>
        <w:t>、</w:t>
      </w:r>
      <w:r w:rsidRPr="00674BB4">
        <w:rPr>
          <w:rFonts w:ascii="新宋体" w:eastAsia="新宋体" w:hAnsi="新宋体" w:hint="eastAsia"/>
          <w:szCs w:val="21"/>
        </w:rPr>
        <w:t>有权机关</w:t>
      </w:r>
      <w:r w:rsidR="00D07A50">
        <w:rPr>
          <w:rFonts w:ascii="新宋体" w:eastAsia="新宋体" w:hAnsi="新宋体" w:hint="eastAsia"/>
          <w:szCs w:val="21"/>
        </w:rPr>
        <w:t>、</w:t>
      </w:r>
      <w:r w:rsidR="00D07A50" w:rsidRPr="00D07A50">
        <w:rPr>
          <w:rFonts w:ascii="新宋体" w:eastAsia="新宋体" w:hAnsi="新宋体"/>
          <w:szCs w:val="21"/>
        </w:rPr>
        <w:t>集团成员、服务机构及其他</w:t>
      </w:r>
      <w:r w:rsidR="00D07A50" w:rsidRPr="00D07A50">
        <w:rPr>
          <w:rFonts w:ascii="新宋体" w:eastAsia="新宋体" w:hAnsi="新宋体" w:hint="eastAsia"/>
          <w:szCs w:val="21"/>
        </w:rPr>
        <w:t>产品管理人</w:t>
      </w:r>
      <w:r w:rsidR="00D07A50" w:rsidRPr="00D07A50">
        <w:rPr>
          <w:rFonts w:ascii="新宋体" w:eastAsia="新宋体" w:hAnsi="新宋体"/>
          <w:szCs w:val="21"/>
        </w:rPr>
        <w:t>认为必要的业务合作机构（包括但不限于代理销售机构）</w:t>
      </w:r>
      <w:r w:rsidRPr="00674BB4">
        <w:rPr>
          <w:rFonts w:ascii="新宋体" w:eastAsia="新宋体" w:hAnsi="新宋体" w:hint="eastAsia"/>
          <w:szCs w:val="21"/>
        </w:rPr>
        <w:t>提供客户信息，但</w:t>
      </w:r>
      <w:r w:rsidR="00A127CE">
        <w:rPr>
          <w:rFonts w:ascii="新宋体" w:eastAsia="新宋体" w:hAnsi="新宋体" w:hint="eastAsia"/>
          <w:szCs w:val="21"/>
        </w:rPr>
        <w:t>理财产品管理人</w:t>
      </w:r>
      <w:r w:rsidRPr="00674BB4">
        <w:rPr>
          <w:rFonts w:ascii="新宋体" w:eastAsia="新宋体" w:hAnsi="新宋体" w:hint="eastAsia"/>
          <w:szCs w:val="21"/>
        </w:rPr>
        <w:t>应在信息传输过程中，采取有效措施确保信息安全与保密。投资者为自然人的，客户信息包括</w:t>
      </w:r>
      <w:r w:rsidR="003F45F7">
        <w:rPr>
          <w:rFonts w:ascii="新宋体" w:eastAsia="新宋体" w:hAnsi="新宋体" w:hint="eastAsia"/>
          <w:szCs w:val="21"/>
        </w:rPr>
        <w:t>但不限于</w:t>
      </w:r>
      <w:r w:rsidRPr="00674BB4">
        <w:rPr>
          <w:rFonts w:ascii="新宋体" w:eastAsia="新宋体" w:hAnsi="新宋体" w:hint="eastAsia"/>
          <w:szCs w:val="21"/>
        </w:rPr>
        <w:t>：</w:t>
      </w:r>
      <w:r w:rsidR="00D3248A" w:rsidRPr="00674BB4">
        <w:rPr>
          <w:rFonts w:ascii="新宋体" w:eastAsia="新宋体" w:hAnsi="新宋体" w:hint="eastAsia"/>
          <w:szCs w:val="21"/>
        </w:rPr>
        <w:t>①个人基本信息（姓名、性别、出生日期、国籍、身份证件或者身份证明文件的种类、证件号码、有效期限和证件地址、职业、年龄、民族、居民涉税标识、工作单位名称、工作单位行业背景、外国投资者的护照、签证类型和护照、签证有效期、</w:t>
      </w:r>
      <w:r w:rsidR="00D3248A" w:rsidRPr="00674BB4">
        <w:rPr>
          <w:rFonts w:ascii="新宋体" w:eastAsia="新宋体" w:hAnsi="新宋体"/>
          <w:szCs w:val="21"/>
        </w:rPr>
        <w:t xml:space="preserve"> 生物识别信息、</w:t>
      </w:r>
      <w:r w:rsidR="00D3248A">
        <w:rPr>
          <w:rFonts w:ascii="新宋体" w:eastAsia="新宋体" w:hAnsi="新宋体"/>
          <w:szCs w:val="21"/>
        </w:rPr>
        <w:t>投资者</w:t>
      </w:r>
      <w:r w:rsidR="00D3248A" w:rsidRPr="00674BB4">
        <w:rPr>
          <w:rFonts w:ascii="新宋体" w:eastAsia="新宋体" w:hAnsi="新宋体"/>
          <w:szCs w:val="21"/>
        </w:rPr>
        <w:t>在</w:t>
      </w:r>
      <w:r w:rsidR="00D3248A">
        <w:rPr>
          <w:rFonts w:ascii="新宋体" w:eastAsia="新宋体" w:hAnsi="新宋体"/>
          <w:szCs w:val="21"/>
        </w:rPr>
        <w:t>理财产品管理人</w:t>
      </w:r>
      <w:r w:rsidR="00D3248A" w:rsidRPr="00674BB4">
        <w:rPr>
          <w:rFonts w:ascii="新宋体" w:eastAsia="新宋体" w:hAnsi="新宋体" w:hint="eastAsia"/>
          <w:szCs w:val="21"/>
        </w:rPr>
        <w:t>的客户号等信息）</w:t>
      </w:r>
      <w:r w:rsidR="00D3248A">
        <w:rPr>
          <w:rFonts w:ascii="新宋体" w:eastAsia="新宋体" w:hAnsi="新宋体" w:hint="eastAsia"/>
          <w:szCs w:val="21"/>
        </w:rPr>
        <w:t>；</w:t>
      </w:r>
      <w:r w:rsidR="00D3248A" w:rsidRPr="00674BB4">
        <w:rPr>
          <w:rFonts w:ascii="新宋体" w:eastAsia="新宋体" w:hAnsi="新宋体"/>
          <w:szCs w:val="21"/>
        </w:rPr>
        <w:t>②联络信息（固定电话及移动电话等联系电话、</w:t>
      </w:r>
      <w:r w:rsidR="00D3248A" w:rsidRPr="00674BB4">
        <w:rPr>
          <w:rFonts w:ascii="新宋体" w:eastAsia="新宋体" w:hAnsi="新宋体" w:hint="eastAsia"/>
          <w:szCs w:val="21"/>
        </w:rPr>
        <w:t>常住地地址及工作单位地址等联系地址、邮政编码、电子邮箱等信息）</w:t>
      </w:r>
      <w:r w:rsidR="00D3248A">
        <w:rPr>
          <w:rFonts w:ascii="新宋体" w:eastAsia="新宋体" w:hAnsi="新宋体" w:hint="eastAsia"/>
          <w:szCs w:val="21"/>
        </w:rPr>
        <w:t>；</w:t>
      </w:r>
      <w:r w:rsidR="00D3248A" w:rsidRPr="006D0101">
        <w:rPr>
          <w:rFonts w:ascii="新宋体" w:eastAsia="新宋体" w:hAnsi="新宋体" w:hint="eastAsia"/>
          <w:szCs w:val="21"/>
        </w:rPr>
        <w:t>③财产信息（投资者收入来源和数额、资产、债务、财务状况等财产信息）；</w:t>
      </w:r>
      <w:r w:rsidR="00D3248A" w:rsidRPr="006D0101">
        <w:rPr>
          <w:rFonts w:ascii="新宋体" w:eastAsia="新宋体" w:hAnsi="新宋体"/>
          <w:szCs w:val="21"/>
        </w:rPr>
        <w:t>④账户及相关信息（投资者在理财产品管理人的账户信息、历史交易记录等）</w:t>
      </w:r>
      <w:r w:rsidR="00D3248A" w:rsidRPr="006D0101">
        <w:rPr>
          <w:rFonts w:ascii="新宋体" w:eastAsia="新宋体" w:hAnsi="新宋体" w:hint="eastAsia"/>
          <w:szCs w:val="21"/>
        </w:rPr>
        <w:t>；⑤投资经验、风险偏好与投资目标（投资者投资经验、风险偏好和风险承受能力，投资者预定的投资目标、期限、流动性和投资品类等资产配置目标）；</w:t>
      </w:r>
      <w:r w:rsidR="00D3248A" w:rsidRPr="006D0101">
        <w:rPr>
          <w:rFonts w:ascii="新宋体" w:eastAsia="新宋体" w:hAnsi="新宋体"/>
          <w:szCs w:val="21"/>
        </w:rPr>
        <w:t>⑥在与投资者建立业务关系过程中及服务过程中产生、获取、</w:t>
      </w:r>
      <w:r w:rsidR="00D3248A" w:rsidRPr="006D0101">
        <w:rPr>
          <w:rFonts w:ascii="新宋体" w:eastAsia="新宋体" w:hAnsi="新宋体" w:hint="eastAsia"/>
          <w:szCs w:val="21"/>
        </w:rPr>
        <w:t>保存的其他与业务相关的个人信息及法律法规规定的其他必要信息。</w:t>
      </w:r>
    </w:p>
    <w:p w14:paraId="69E40F06" w14:textId="2CB572C8"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hint="eastAsia"/>
          <w:szCs w:val="21"/>
        </w:rPr>
        <w:t>9</w:t>
      </w:r>
      <w:r>
        <w:rPr>
          <w:rFonts w:ascii="新宋体" w:eastAsia="新宋体" w:hAnsi="新宋体"/>
          <w:szCs w:val="21"/>
        </w:rPr>
        <w:t xml:space="preserve">. </w:t>
      </w:r>
      <w:r>
        <w:rPr>
          <w:rFonts w:ascii="新宋体" w:eastAsia="新宋体" w:hAnsi="新宋体" w:hint="eastAsia"/>
          <w:szCs w:val="21"/>
        </w:rPr>
        <w:t>理财投资者</w:t>
      </w:r>
      <w:r w:rsidRPr="00CE7DA7">
        <w:rPr>
          <w:rFonts w:ascii="新宋体" w:eastAsia="新宋体" w:hAnsi="新宋体"/>
          <w:szCs w:val="21"/>
        </w:rPr>
        <w:t>具有完全民事行为能力，有完全适当的资格与能力订立并履行本协议，不存在法律、行政法规有关规定禁止或限制投资本理财产品的情形。</w:t>
      </w:r>
    </w:p>
    <w:p w14:paraId="6D2154BC" w14:textId="5ACE9046"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 xml:space="preserve">10. </w:t>
      </w:r>
      <w:r>
        <w:rPr>
          <w:rFonts w:ascii="新宋体" w:eastAsia="新宋体" w:hAnsi="新宋体" w:hint="eastAsia"/>
          <w:szCs w:val="21"/>
        </w:rPr>
        <w:t>理财投资者</w:t>
      </w:r>
      <w:r w:rsidRPr="00CE7DA7">
        <w:rPr>
          <w:rFonts w:ascii="新宋体" w:eastAsia="新宋体" w:hAnsi="新宋体"/>
          <w:szCs w:val="21"/>
        </w:rPr>
        <w:t>保证以真实身份投资本理财产品，保证提供给产品管理人和代销机构的信息和资料均真实、准确、完整、合法、有效。如</w:t>
      </w:r>
      <w:r>
        <w:rPr>
          <w:rFonts w:ascii="新宋体" w:eastAsia="新宋体" w:hAnsi="新宋体" w:hint="eastAsia"/>
          <w:szCs w:val="21"/>
        </w:rPr>
        <w:t>理财投资者</w:t>
      </w:r>
      <w:r w:rsidRPr="00CE7DA7">
        <w:rPr>
          <w:rFonts w:ascii="新宋体" w:eastAsia="新宋体" w:hAnsi="新宋体"/>
          <w:szCs w:val="21"/>
        </w:rPr>
        <w:t>的信息和/或资料发生变更，应当及时书面告知产品管理人或代销机构。否则，由此导致的后果应由投资者自行承担，产品管理人和代销机构对此不承担相应责任。</w:t>
      </w:r>
    </w:p>
    <w:p w14:paraId="32BCA9C2" w14:textId="6EB1857D"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 xml:space="preserve">11. </w:t>
      </w:r>
      <w:r>
        <w:rPr>
          <w:rFonts w:ascii="新宋体" w:eastAsia="新宋体" w:hAnsi="新宋体" w:hint="eastAsia"/>
          <w:szCs w:val="21"/>
        </w:rPr>
        <w:t>理财投资者</w:t>
      </w:r>
      <w:r w:rsidRPr="00CE7DA7">
        <w:rPr>
          <w:rFonts w:ascii="新宋体" w:eastAsia="新宋体" w:hAnsi="新宋体"/>
          <w:szCs w:val="21"/>
        </w:rPr>
        <w:t>确认签署和履行本协议系其真实意思表示，且不会违反对其有约束力的任何合同和其他法律文件；投资者已经取得签订和履行本协议所需的一切有关批准、许可、</w:t>
      </w:r>
      <w:r w:rsidRPr="00CE7DA7">
        <w:rPr>
          <w:rFonts w:ascii="新宋体" w:eastAsia="新宋体" w:hAnsi="新宋体"/>
          <w:szCs w:val="21"/>
        </w:rPr>
        <w:lastRenderedPageBreak/>
        <w:t>备案或者登记。</w:t>
      </w:r>
    </w:p>
    <w:p w14:paraId="0AC93BE4" w14:textId="5E86C6CC"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 xml:space="preserve">12. </w:t>
      </w:r>
      <w:r>
        <w:rPr>
          <w:rFonts w:ascii="新宋体" w:eastAsia="新宋体" w:hAnsi="新宋体" w:hint="eastAsia"/>
          <w:szCs w:val="21"/>
        </w:rPr>
        <w:t>理财投资者</w:t>
      </w:r>
      <w:r w:rsidRPr="00CE7DA7">
        <w:rPr>
          <w:rFonts w:ascii="新宋体" w:eastAsia="新宋体" w:hAnsi="新宋体"/>
          <w:szCs w:val="21"/>
        </w:rPr>
        <w:t>声明熟悉本理财产品类型特征及不同销售渠道的相关规定。</w:t>
      </w:r>
    </w:p>
    <w:p w14:paraId="650B4715" w14:textId="60209208"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13.</w:t>
      </w:r>
      <w:r>
        <w:rPr>
          <w:rFonts w:ascii="新宋体" w:eastAsia="新宋体" w:hAnsi="新宋体" w:hint="eastAsia"/>
          <w:szCs w:val="21"/>
        </w:rPr>
        <w:t xml:space="preserve"> </w:t>
      </w:r>
      <w:r w:rsidR="00F33D62">
        <w:rPr>
          <w:rFonts w:ascii="新宋体" w:eastAsia="新宋体" w:hAnsi="新宋体" w:hint="eastAsia"/>
          <w:szCs w:val="21"/>
        </w:rPr>
        <w:t>理财投资者</w:t>
      </w:r>
      <w:r w:rsidRPr="00CE7DA7">
        <w:rPr>
          <w:rFonts w:ascii="新宋体" w:eastAsia="新宋体" w:hAnsi="新宋体"/>
          <w:szCs w:val="21"/>
        </w:rPr>
        <w:t>承诺：如委托他人购买本理财产品，代理人须出具具有法律效力的授权委托书。</w:t>
      </w:r>
    </w:p>
    <w:p w14:paraId="7CB2E5BD" w14:textId="07B697EA"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 xml:space="preserve">14. </w:t>
      </w:r>
      <w:r w:rsidRPr="00CE7DA7">
        <w:rPr>
          <w:rFonts w:ascii="新宋体" w:eastAsia="新宋体" w:hAnsi="新宋体"/>
          <w:szCs w:val="21"/>
        </w:rPr>
        <w:t>对于</w:t>
      </w:r>
      <w:r>
        <w:rPr>
          <w:rFonts w:ascii="新宋体" w:eastAsia="新宋体" w:hAnsi="新宋体"/>
          <w:szCs w:val="21"/>
        </w:rPr>
        <w:t>理财投资者</w:t>
      </w:r>
      <w:r w:rsidRPr="00CE7DA7">
        <w:rPr>
          <w:rFonts w:ascii="新宋体" w:eastAsia="新宋体" w:hAnsi="新宋体"/>
          <w:szCs w:val="21"/>
        </w:rPr>
        <w:t>通过网上银行等线上销售渠道方式购买的理财产品（不受限于本产品），</w:t>
      </w:r>
      <w:r>
        <w:rPr>
          <w:rFonts w:ascii="新宋体" w:eastAsia="新宋体" w:hAnsi="新宋体"/>
          <w:szCs w:val="21"/>
        </w:rPr>
        <w:t>理财投资者</w:t>
      </w:r>
      <w:r w:rsidRPr="00CE7DA7">
        <w:rPr>
          <w:rFonts w:ascii="新宋体" w:eastAsia="新宋体" w:hAnsi="新宋体"/>
          <w:szCs w:val="21"/>
        </w:rPr>
        <w:t>通过客户身份认证要素（包括但不限于账号、网上银行登录名、密码、数字证书、USBKey 等）或其他交易安全措施所完成的一切操作均视为</w:t>
      </w:r>
      <w:r>
        <w:rPr>
          <w:rFonts w:ascii="新宋体" w:eastAsia="新宋体" w:hAnsi="新宋体"/>
          <w:szCs w:val="21"/>
        </w:rPr>
        <w:t>理财投资者</w:t>
      </w:r>
      <w:r w:rsidRPr="00CE7DA7">
        <w:rPr>
          <w:rFonts w:ascii="新宋体" w:eastAsia="新宋体" w:hAnsi="新宋体"/>
          <w:szCs w:val="21"/>
        </w:rPr>
        <w:t>所为，</w:t>
      </w:r>
      <w:r>
        <w:rPr>
          <w:rFonts w:ascii="新宋体" w:eastAsia="新宋体" w:hAnsi="新宋体"/>
          <w:szCs w:val="21"/>
        </w:rPr>
        <w:t>理财投资者</w:t>
      </w:r>
      <w:r w:rsidRPr="00CE7DA7">
        <w:rPr>
          <w:rFonts w:ascii="新宋体" w:eastAsia="新宋体" w:hAnsi="新宋体"/>
          <w:szCs w:val="21"/>
        </w:rPr>
        <w:t>确认其在线上渠道系统点击确认的理财产品销售文件的合法有效性，与纸质签署具有同等效力，并确认记录以及录音、录像构成对</w:t>
      </w:r>
      <w:r>
        <w:rPr>
          <w:rFonts w:ascii="新宋体" w:eastAsia="新宋体" w:hAnsi="新宋体"/>
          <w:szCs w:val="21"/>
        </w:rPr>
        <w:t>理财投资者</w:t>
      </w:r>
      <w:r w:rsidRPr="00CE7DA7">
        <w:rPr>
          <w:rFonts w:ascii="新宋体" w:eastAsia="新宋体" w:hAnsi="新宋体"/>
          <w:szCs w:val="21"/>
        </w:rPr>
        <w:t>操作行为（包括但不限于购买、赎回、撤单等业务）的终局证据，并且在双方发生争议时可以作为合法有效的证据使用。</w:t>
      </w:r>
    </w:p>
    <w:p w14:paraId="76248030" w14:textId="2BFB58AB" w:rsidR="00CE7DA7" w:rsidRPr="00CE7DA7" w:rsidRDefault="00CE7DA7"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15. 理财投资者</w:t>
      </w:r>
      <w:r w:rsidRPr="00CE7DA7">
        <w:rPr>
          <w:rFonts w:ascii="新宋体" w:eastAsia="新宋体" w:hAnsi="新宋体"/>
          <w:szCs w:val="21"/>
        </w:rPr>
        <w:t>承诺投资本理财产品不存在违反监管要求的产品嵌套，以及以投资本理财产品规避投资范围、杠杆约束等监管要求等违规行为。如因</w:t>
      </w:r>
      <w:r>
        <w:rPr>
          <w:rFonts w:ascii="新宋体" w:eastAsia="新宋体" w:hAnsi="新宋体"/>
          <w:szCs w:val="21"/>
        </w:rPr>
        <w:t>理财投资者</w:t>
      </w:r>
      <w:r w:rsidRPr="00CE7DA7">
        <w:rPr>
          <w:rFonts w:ascii="新宋体" w:eastAsia="新宋体" w:hAnsi="新宋体"/>
          <w:szCs w:val="21"/>
        </w:rPr>
        <w:t>原因，导致</w:t>
      </w:r>
      <w:r>
        <w:rPr>
          <w:rFonts w:ascii="新宋体" w:eastAsia="新宋体" w:hAnsi="新宋体"/>
          <w:szCs w:val="21"/>
        </w:rPr>
        <w:t>理财产品管理人</w:t>
      </w:r>
      <w:r w:rsidRPr="00CE7DA7">
        <w:rPr>
          <w:rFonts w:ascii="新宋体" w:eastAsia="新宋体" w:hAnsi="新宋体"/>
          <w:szCs w:val="21"/>
        </w:rPr>
        <w:t>对其他第三方承担赔偿责任的，</w:t>
      </w:r>
      <w:r>
        <w:rPr>
          <w:rFonts w:ascii="新宋体" w:eastAsia="新宋体" w:hAnsi="新宋体"/>
          <w:szCs w:val="21"/>
        </w:rPr>
        <w:t>理财投资者</w:t>
      </w:r>
      <w:r w:rsidRPr="00CE7DA7">
        <w:rPr>
          <w:rFonts w:ascii="新宋体" w:eastAsia="新宋体" w:hAnsi="新宋体"/>
          <w:szCs w:val="21"/>
        </w:rPr>
        <w:t>应承担相应的赔偿责任。</w:t>
      </w:r>
    </w:p>
    <w:p w14:paraId="7156AD71" w14:textId="6B3AF44F" w:rsid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szCs w:val="21"/>
        </w:rPr>
        <w:t>1</w:t>
      </w:r>
      <w:r>
        <w:rPr>
          <w:rFonts w:ascii="新宋体" w:eastAsia="新宋体" w:hAnsi="新宋体"/>
          <w:szCs w:val="21"/>
        </w:rPr>
        <w:t>6. 理财投资者</w:t>
      </w:r>
      <w:r w:rsidRPr="00CE7DA7">
        <w:rPr>
          <w:rFonts w:ascii="新宋体" w:eastAsia="新宋体" w:hAnsi="新宋体"/>
          <w:szCs w:val="21"/>
        </w:rPr>
        <w:t>承诺，同意</w:t>
      </w:r>
      <w:r>
        <w:rPr>
          <w:rFonts w:ascii="新宋体" w:eastAsia="新宋体" w:hAnsi="新宋体"/>
          <w:szCs w:val="21"/>
        </w:rPr>
        <w:t>理财产品管理人</w:t>
      </w:r>
      <w:r w:rsidRPr="00CE7DA7">
        <w:rPr>
          <w:rFonts w:ascii="新宋体" w:eastAsia="新宋体" w:hAnsi="新宋体"/>
          <w:szCs w:val="21"/>
        </w:rPr>
        <w:t>和代销机构在投资者交付购买理财产品的款项后将该等购款项划转至产品管理人指定的资金账户，对此产品管理人及代销机构无须另行征得投资者同意或给予通知，无须在划款时以电话等方式与</w:t>
      </w:r>
      <w:r>
        <w:rPr>
          <w:rFonts w:ascii="新宋体" w:eastAsia="新宋体" w:hAnsi="新宋体"/>
          <w:szCs w:val="21"/>
        </w:rPr>
        <w:t>理财投资者</w:t>
      </w:r>
      <w:r w:rsidRPr="00CE7DA7">
        <w:rPr>
          <w:rFonts w:ascii="新宋体" w:eastAsia="新宋体" w:hAnsi="新宋体"/>
          <w:szCs w:val="21"/>
        </w:rPr>
        <w:t>进行最后确认，对于风险较高或投资者单笔购买金额较大的理财产品，同样适用上述划款规则。由于投资者未存入理财资金或理财资金不足或未在约定的时间前购买本产品而导致交易失败的，产品管理人和代销机构不承担相应责任。</w:t>
      </w:r>
    </w:p>
    <w:p w14:paraId="4FBB67DE" w14:textId="594B8EB5" w:rsidR="00514C22" w:rsidRPr="00CE7DA7" w:rsidRDefault="00514C22"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7. 理财投资者</w:t>
      </w:r>
      <w:r w:rsidRPr="00CE7DA7">
        <w:rPr>
          <w:rFonts w:ascii="新宋体" w:eastAsia="新宋体" w:hAnsi="新宋体"/>
          <w:szCs w:val="21"/>
        </w:rPr>
        <w:t>承诺，同意</w:t>
      </w:r>
      <w:r>
        <w:rPr>
          <w:rFonts w:ascii="新宋体" w:eastAsia="新宋体" w:hAnsi="新宋体"/>
          <w:szCs w:val="21"/>
        </w:rPr>
        <w:t>理财产品</w:t>
      </w:r>
      <w:r w:rsidRPr="00514C22">
        <w:rPr>
          <w:rFonts w:ascii="新宋体" w:eastAsia="新宋体" w:hAnsi="新宋体" w:hint="eastAsia"/>
          <w:szCs w:val="21"/>
        </w:rPr>
        <w:t>销售机构积极采取有效措施和技术手段完整客观记录营销推介、产品风险和关键信息提示、投资者确认和反馈等重点销售环节，确保能够满足回溯检查和核查取证的需要。</w:t>
      </w:r>
    </w:p>
    <w:p w14:paraId="2548B992" w14:textId="638DDB01" w:rsidR="00CE7DA7" w:rsidRPr="00CE7DA7" w:rsidRDefault="00514C22"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18</w:t>
      </w:r>
      <w:r w:rsidR="00F33D62">
        <w:rPr>
          <w:rFonts w:ascii="新宋体" w:eastAsia="新宋体" w:hAnsi="新宋体"/>
          <w:szCs w:val="21"/>
        </w:rPr>
        <w:t xml:space="preserve">. </w:t>
      </w:r>
      <w:r w:rsidR="00CE7DA7" w:rsidRPr="00CE7DA7">
        <w:rPr>
          <w:rFonts w:ascii="新宋体" w:eastAsia="新宋体" w:hAnsi="新宋体"/>
          <w:szCs w:val="21"/>
        </w:rPr>
        <w:t>未经产品管理人同意，投资者不得以本协议或本协议项下的任何权利、利益、权益（包括单独和整体）为投资者和/或任何第三人的债务设定担保或其他权益；投资者不得向任何第三人转让、赠与本协议或本协议项下的任何权利、利益、权益（包括单独和整体）。产品管理人不承担对第三人支付本理财产品项下投资者应得清算分配金额以及相关权益的责任，法律法规另有规定的除外。本协议项下理财业务不受代销机构存款保险机制或其他保障机制保障。</w:t>
      </w:r>
    </w:p>
    <w:p w14:paraId="7203D0B5" w14:textId="2A27C9AC" w:rsidR="00CE7DA7" w:rsidRPr="00CE7DA7" w:rsidRDefault="00514C22"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szCs w:val="21"/>
        </w:rPr>
        <w:t>1</w:t>
      </w:r>
      <w:r>
        <w:rPr>
          <w:rFonts w:ascii="新宋体" w:eastAsia="新宋体" w:hAnsi="新宋体"/>
          <w:szCs w:val="21"/>
        </w:rPr>
        <w:t>9</w:t>
      </w:r>
      <w:r w:rsidR="00F33D62">
        <w:rPr>
          <w:rFonts w:ascii="新宋体" w:eastAsia="新宋体" w:hAnsi="新宋体"/>
          <w:szCs w:val="21"/>
        </w:rPr>
        <w:t xml:space="preserve">. </w:t>
      </w:r>
      <w:r w:rsidR="00CE7DA7" w:rsidRPr="00CE7DA7">
        <w:rPr>
          <w:rFonts w:ascii="新宋体" w:eastAsia="新宋体" w:hAnsi="新宋体"/>
          <w:szCs w:val="21"/>
        </w:rPr>
        <w:t>本理财产品运作过程中涉及的各纳税主体，其纳税义务按国家税收法律、法规执行。除法律法规特别要求外，投资者应缴纳的税收由投资者负责，产品管理人不承担代扣代缴或纳税的义务。本理财产品运营过程中发生的应由本理财产品承担的增值税应税行为，由产品管理人申报和缴纳增值税及附加税费，该等税款直接从理财产品账户中扣付缴纳。</w:t>
      </w:r>
    </w:p>
    <w:p w14:paraId="176A9236" w14:textId="537092AA" w:rsidR="00CE7DA7" w:rsidRPr="00CE7DA7" w:rsidRDefault="00514C22" w:rsidP="00CE7DA7">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20</w:t>
      </w:r>
      <w:r w:rsidR="00F33D62">
        <w:rPr>
          <w:rFonts w:ascii="新宋体" w:eastAsia="新宋体" w:hAnsi="新宋体" w:hint="eastAsia"/>
          <w:szCs w:val="21"/>
        </w:rPr>
        <w:t>.</w:t>
      </w:r>
      <w:r w:rsidR="00F33D62">
        <w:rPr>
          <w:rFonts w:ascii="新宋体" w:eastAsia="新宋体" w:hAnsi="新宋体"/>
          <w:szCs w:val="21"/>
        </w:rPr>
        <w:t xml:space="preserve"> </w:t>
      </w:r>
      <w:r w:rsidR="00CE7DA7" w:rsidRPr="00CE7DA7">
        <w:rPr>
          <w:rFonts w:ascii="新宋体" w:eastAsia="新宋体" w:hAnsi="新宋体"/>
          <w:szCs w:val="21"/>
        </w:rPr>
        <w:t>投资者在此授权并同意产品管理人享有以下权利：</w:t>
      </w:r>
    </w:p>
    <w:p w14:paraId="6E77EF2A"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1）根据法律法规和监管规定，以其固有财产先行垫付因处理本理财产品相关事务所</w:t>
      </w:r>
      <w:r w:rsidRPr="00CE7DA7">
        <w:rPr>
          <w:rFonts w:ascii="新宋体" w:eastAsia="新宋体" w:hAnsi="新宋体"/>
          <w:szCs w:val="21"/>
        </w:rPr>
        <w:lastRenderedPageBreak/>
        <w:t>支出的理财产品费用及税费的，对理财产品资金享有优先受偿的权利。</w:t>
      </w:r>
    </w:p>
    <w:p w14:paraId="0A1F1E64"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2）在理财产品投资过程中发生任何争议，代表理财产品进行维权，行使包括但不限于提起诉讼/仲裁、申请保全/执行等权利，由此产生的费用由理财产品承担。</w:t>
      </w:r>
    </w:p>
    <w:p w14:paraId="66DD86D1"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3）由于投资管理或者获取投资标的的需要，支付投后管理费、项目推荐费、财务顾问费等相关费用。</w:t>
      </w:r>
    </w:p>
    <w:p w14:paraId="5B89EB5F" w14:textId="65A6EE70"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4）产品管理人有权依照《产品说明书》约定的收费标准和方式收取理财产品相关费用，具体收费项目、条件、方式和标准详见《产品说明书》。产品管理人亦有权对已约定的收费项目、条件、标准和方式进行调整，但须在调整前通过《产品说明书》约定的信息披露渠道向投资者进行信息披露。</w:t>
      </w:r>
      <w:r w:rsidR="00C00D76">
        <w:rPr>
          <w:rFonts w:ascii="新宋体" w:eastAsia="新宋体" w:hAnsi="新宋体" w:hint="eastAsia"/>
          <w:szCs w:val="21"/>
        </w:rPr>
        <w:t>对于开放式产品，</w:t>
      </w:r>
      <w:r w:rsidR="00C00D76" w:rsidRPr="000C79D4">
        <w:rPr>
          <w:rFonts w:ascii="新宋体" w:eastAsia="新宋体" w:hAnsi="新宋体" w:hint="eastAsia"/>
          <w:szCs w:val="21"/>
        </w:rPr>
        <w:t>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r w:rsidRPr="00CE7DA7">
        <w:rPr>
          <w:rFonts w:ascii="新宋体" w:eastAsia="新宋体" w:hAnsi="新宋体"/>
          <w:szCs w:val="21"/>
        </w:rPr>
        <w:t>投资者应在充分知晓、理解有关信息披露内容后签署本协议，并在签署本协议后通过约定的信息披露渠道持续关注理财产品的信息披露内容。</w:t>
      </w:r>
    </w:p>
    <w:p w14:paraId="5517877C"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5）在法律法规允许的前提下，为理财产品的利益依法为理财产品开展金融融资、融券及转融通业务。</w:t>
      </w:r>
    </w:p>
    <w:p w14:paraId="02B57013"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6）投资者如不配合产品管理人、代销机构的反洗钱尽职调查的、或者从事涉及洗钱、恐怖融资等违法违规活动的，产品管理人有权赎回投资者持有的全部份额或根据法律法规、监管机构的要求进行冻结、配合扣划执行等工作。</w:t>
      </w:r>
    </w:p>
    <w:p w14:paraId="05993C15"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7）产品管理人按照理财产品销售文件的约定办理理财产品的认（申）购、赎回，暂停或者开放认（申）购、赎回等业务的，将按照理财产品销售文件约定的信息披露方式向投资者说明具体原因和依据。</w:t>
      </w:r>
    </w:p>
    <w:p w14:paraId="62A2A76E" w14:textId="7777777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8）产品管理人或代销机构有权根据适用的法律、法规和监管政策的变化而不时更新反洗钱、反恐怖融资、制裁合规风险管理等相关措施以及非居民金融账户涉税尽职调查要求，投资者将持续配合管理人或代销机构不时更新的措施和要求。</w:t>
      </w:r>
    </w:p>
    <w:p w14:paraId="14FE0178" w14:textId="7C920F5F"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9）产品管理人可能基于法律、法规和监管政策、系统升级或根据业务发展对理财产品销售文件进行修订更新，产品管理人将就该等修订或更新按照《产品说明书》的约定进行披露。</w:t>
      </w:r>
      <w:r w:rsidR="00C00D76">
        <w:rPr>
          <w:rFonts w:ascii="新宋体" w:eastAsia="新宋体" w:hAnsi="新宋体" w:hint="eastAsia"/>
          <w:szCs w:val="21"/>
        </w:rPr>
        <w:t>对于开放式产品，</w:t>
      </w:r>
      <w:r w:rsidR="00C00D76" w:rsidRPr="000C79D4">
        <w:rPr>
          <w:rFonts w:ascii="新宋体" w:eastAsia="新宋体" w:hAnsi="新宋体" w:hint="eastAsia"/>
          <w:szCs w:val="21"/>
        </w:rPr>
        <w:t>如投资者不接受调整，则应及时通过销售服务机构营业网点或网上销售平台赎回本产品（高风险类型的理财产品超出比例范围投资较低风险资产的情况除外）</w:t>
      </w:r>
      <w:bookmarkStart w:id="2" w:name="_GoBack"/>
      <w:bookmarkEnd w:id="2"/>
      <w:r w:rsidR="00C00D76" w:rsidRPr="000C79D4">
        <w:rPr>
          <w:rFonts w:ascii="新宋体" w:eastAsia="新宋体" w:hAnsi="新宋体" w:hint="eastAsia"/>
          <w:szCs w:val="21"/>
        </w:rPr>
        <w:t>，若本产品投资者未赎回本产品，则视为本理财产品投资者对相关调整无异议并同意继续持有本理财产品。</w:t>
      </w:r>
    </w:p>
    <w:p w14:paraId="3EF28263" w14:textId="6F8B0CF7" w:rsidR="00CE7DA7" w:rsidRPr="00CE7DA7" w:rsidRDefault="00CE7DA7" w:rsidP="00CE7DA7">
      <w:pPr>
        <w:adjustRightInd w:val="0"/>
        <w:snapToGrid w:val="0"/>
        <w:spacing w:line="360" w:lineRule="auto"/>
        <w:ind w:firstLineChars="200" w:firstLine="420"/>
        <w:rPr>
          <w:rFonts w:ascii="新宋体" w:eastAsia="新宋体" w:hAnsi="新宋体"/>
          <w:szCs w:val="21"/>
        </w:rPr>
      </w:pPr>
      <w:r w:rsidRPr="00CE7DA7">
        <w:rPr>
          <w:rFonts w:ascii="新宋体" w:eastAsia="新宋体" w:hAnsi="新宋体" w:hint="eastAsia"/>
          <w:szCs w:val="21"/>
        </w:rPr>
        <w:t>（</w:t>
      </w:r>
      <w:r w:rsidRPr="00CE7DA7">
        <w:rPr>
          <w:rFonts w:ascii="新宋体" w:eastAsia="新宋体" w:hAnsi="新宋体"/>
          <w:szCs w:val="21"/>
        </w:rPr>
        <w:t>10）法律、法规和监管政策规定的产品管理人享有的其他权利。</w:t>
      </w:r>
    </w:p>
    <w:bookmarkEnd w:id="1"/>
    <w:p w14:paraId="44C289EB" w14:textId="5C00E324" w:rsidR="00F3383A" w:rsidRPr="00F3383A" w:rsidRDefault="00514C22" w:rsidP="00F3383A">
      <w:pPr>
        <w:adjustRightInd w:val="0"/>
        <w:snapToGrid w:val="0"/>
        <w:spacing w:line="360" w:lineRule="auto"/>
        <w:ind w:firstLineChars="200" w:firstLine="420"/>
        <w:rPr>
          <w:rFonts w:ascii="新宋体" w:eastAsia="新宋体" w:hAnsi="新宋体"/>
          <w:szCs w:val="21"/>
        </w:rPr>
      </w:pPr>
      <w:r>
        <w:rPr>
          <w:rFonts w:ascii="新宋体" w:eastAsia="新宋体" w:hAnsi="新宋体"/>
          <w:color w:val="000000"/>
          <w:szCs w:val="21"/>
        </w:rPr>
        <w:t>21</w:t>
      </w:r>
      <w:r w:rsidR="00F3383A" w:rsidRPr="00F3383A">
        <w:rPr>
          <w:rFonts w:ascii="新宋体" w:eastAsia="新宋体" w:hAnsi="新宋体"/>
          <w:color w:val="000000"/>
          <w:szCs w:val="21"/>
        </w:rPr>
        <w:t>．法律法规</w:t>
      </w:r>
      <w:r w:rsidR="002A6DCD">
        <w:rPr>
          <w:rFonts w:ascii="新宋体" w:eastAsia="新宋体" w:hAnsi="新宋体" w:hint="eastAsia"/>
          <w:color w:val="000000"/>
          <w:szCs w:val="21"/>
        </w:rPr>
        <w:t>以及</w:t>
      </w:r>
      <w:r w:rsidR="00F3383A" w:rsidRPr="00F3383A">
        <w:rPr>
          <w:rFonts w:ascii="新宋体" w:eastAsia="新宋体" w:hAnsi="新宋体"/>
          <w:color w:val="000000"/>
          <w:szCs w:val="21"/>
        </w:rPr>
        <w:t>理财产品合同所规定的其它义务。</w:t>
      </w:r>
    </w:p>
    <w:p w14:paraId="7631C905"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三、理财产品管理人的权利义务</w:t>
      </w:r>
    </w:p>
    <w:p w14:paraId="6EF9BE0C"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（一）理财产品管理人的权利：</w:t>
      </w:r>
    </w:p>
    <w:p w14:paraId="7DFCCEA9" w14:textId="1F2CC62A"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lastRenderedPageBreak/>
        <w:t>1．自理财产品合同生效之日起，青银理财依照法律法规和理财产品合同独立管理理财资产</w:t>
      </w:r>
      <w:r w:rsidR="004B2EC7">
        <w:rPr>
          <w:rFonts w:ascii="新宋体" w:eastAsia="新宋体" w:hAnsi="新宋体" w:hint="eastAsia"/>
          <w:color w:val="000000"/>
          <w:szCs w:val="21"/>
        </w:rPr>
        <w:t>；</w:t>
      </w:r>
    </w:p>
    <w:p w14:paraId="669136C8"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2．根据法律法规和理财产品合同的约定，制订、修改并公布有关理财募集、认购、申购、赎回、非交易过户、冻结、收益分配等方面的业务规则；</w:t>
      </w:r>
    </w:p>
    <w:p w14:paraId="6BEF8D91"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3．根据法律法规和理财产品合同的约定决定本理财产品的相关费率结构和收费方式，获得理财产品管理费，收取超额业绩报酬（如有）及其它事先批准或公告的合理费用以及法律法规规定的其它费用；</w:t>
      </w:r>
    </w:p>
    <w:p w14:paraId="6016D7A1" w14:textId="413DA42F"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4．依据法律法规和理财产品合同的约定监督理财产品托管人，如认为理财产</w:t>
      </w:r>
      <w:r w:rsidR="002A6DCD">
        <w:rPr>
          <w:rFonts w:ascii="新宋体" w:eastAsia="新宋体" w:hAnsi="新宋体" w:hint="eastAsia"/>
          <w:color w:val="000000"/>
          <w:szCs w:val="21"/>
        </w:rPr>
        <w:t>品</w:t>
      </w:r>
      <w:r w:rsidRPr="00F3383A">
        <w:rPr>
          <w:rFonts w:ascii="新宋体" w:eastAsia="新宋体" w:hAnsi="新宋体"/>
          <w:color w:val="000000"/>
          <w:szCs w:val="21"/>
        </w:rPr>
        <w:t>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14:paraId="675B2150" w14:textId="13BAF67A"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5．在法律法规允许的前提下，为理财产品的利益依法为理财产品进行融资</w:t>
      </w:r>
      <w:r w:rsidR="004B2EC7">
        <w:rPr>
          <w:rFonts w:ascii="新宋体" w:eastAsia="新宋体" w:hAnsi="新宋体" w:hint="eastAsia"/>
          <w:color w:val="000000"/>
          <w:szCs w:val="21"/>
        </w:rPr>
        <w:t>；</w:t>
      </w:r>
    </w:p>
    <w:p w14:paraId="2E19F47F"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6．依据法律法规和理财产品合同的约定，制订理财产品收益的分配方案；</w:t>
      </w:r>
    </w:p>
    <w:p w14:paraId="34C57E56" w14:textId="068E6929"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7．按照法律法规，代表理财产品对被投资企业行使股东权利，代表理财产品行使因投资于其它证券所产生的权利</w:t>
      </w:r>
      <w:r w:rsidR="004B2EC7">
        <w:rPr>
          <w:rFonts w:ascii="新宋体" w:eastAsia="新宋体" w:hAnsi="新宋体" w:hint="eastAsia"/>
          <w:color w:val="000000"/>
          <w:szCs w:val="21"/>
        </w:rPr>
        <w:t>；</w:t>
      </w:r>
    </w:p>
    <w:p w14:paraId="178C66B0" w14:textId="2064FE46"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8．</w:t>
      </w:r>
      <w:r>
        <w:rPr>
          <w:rFonts w:ascii="新宋体" w:eastAsia="新宋体" w:hAnsi="新宋体" w:hint="eastAsia"/>
          <w:color w:val="000000"/>
          <w:szCs w:val="21"/>
        </w:rPr>
        <w:t xml:space="preserve"> </w:t>
      </w:r>
      <w:r w:rsidRPr="00F3383A">
        <w:rPr>
          <w:rFonts w:ascii="新宋体" w:eastAsia="新宋体" w:hAnsi="新宋体"/>
          <w:color w:val="000000"/>
          <w:szCs w:val="21"/>
        </w:rPr>
        <w:t>以</w:t>
      </w:r>
      <w:r w:rsidRPr="00F3383A">
        <w:rPr>
          <w:rFonts w:ascii="新宋体" w:eastAsia="新宋体" w:hAnsi="新宋体" w:hint="eastAsia"/>
          <w:color w:val="000000"/>
          <w:szCs w:val="21"/>
        </w:rPr>
        <w:t>青银理财的</w:t>
      </w:r>
      <w:r w:rsidRPr="00F3383A">
        <w:rPr>
          <w:rFonts w:ascii="新宋体" w:eastAsia="新宋体" w:hAnsi="新宋体"/>
          <w:color w:val="000000"/>
          <w:szCs w:val="21"/>
        </w:rPr>
        <w:t>名义，代表理财份额持有人利益行使诉讼权利或者实施其他法律行为</w:t>
      </w:r>
      <w:r w:rsidR="004B2EC7">
        <w:rPr>
          <w:rFonts w:ascii="新宋体" w:eastAsia="新宋体" w:hAnsi="新宋体" w:hint="eastAsia"/>
          <w:color w:val="000000"/>
          <w:szCs w:val="21"/>
        </w:rPr>
        <w:t>；</w:t>
      </w:r>
    </w:p>
    <w:p w14:paraId="7FCDEA07" w14:textId="50E246B3" w:rsidR="00313422" w:rsidRPr="007B2352" w:rsidRDefault="00F3383A" w:rsidP="007B2352">
      <w:pPr>
        <w:adjustRightInd w:val="0"/>
        <w:snapToGrid w:val="0"/>
        <w:spacing w:line="360" w:lineRule="auto"/>
        <w:ind w:firstLineChars="200" w:firstLine="420"/>
        <w:rPr>
          <w:rFonts w:ascii="新宋体" w:eastAsia="新宋体" w:hAnsi="新宋体"/>
          <w:color w:val="000000"/>
          <w:szCs w:val="21"/>
        </w:rPr>
      </w:pPr>
      <w:r w:rsidRPr="00F3383A">
        <w:rPr>
          <w:rFonts w:ascii="新宋体" w:eastAsia="新宋体" w:hAnsi="新宋体"/>
          <w:color w:val="000000"/>
          <w:szCs w:val="21"/>
        </w:rPr>
        <w:t>9．选择、更换律师</w:t>
      </w:r>
      <w:r w:rsidR="003F7DE6">
        <w:rPr>
          <w:rFonts w:ascii="新宋体" w:eastAsia="新宋体" w:hAnsi="新宋体" w:hint="eastAsia"/>
          <w:color w:val="000000"/>
          <w:szCs w:val="21"/>
        </w:rPr>
        <w:t>事务所</w:t>
      </w:r>
      <w:r w:rsidRPr="00F3383A">
        <w:rPr>
          <w:rFonts w:ascii="新宋体" w:eastAsia="新宋体" w:hAnsi="新宋体"/>
          <w:color w:val="000000"/>
          <w:szCs w:val="21"/>
        </w:rPr>
        <w:t>、审计</w:t>
      </w:r>
      <w:r w:rsidR="003F7DE6">
        <w:rPr>
          <w:rFonts w:ascii="新宋体" w:eastAsia="新宋体" w:hAnsi="新宋体" w:hint="eastAsia"/>
          <w:color w:val="000000"/>
          <w:szCs w:val="21"/>
        </w:rPr>
        <w:t>事务所</w:t>
      </w:r>
      <w:r w:rsidRPr="00F3383A">
        <w:rPr>
          <w:rFonts w:ascii="新宋体" w:eastAsia="新宋体" w:hAnsi="新宋体"/>
          <w:color w:val="000000"/>
          <w:szCs w:val="21"/>
        </w:rPr>
        <w:t>、证券经纪商或其他为理财产品提供服务的外部机构并确定有关费率</w:t>
      </w:r>
      <w:r w:rsidR="004B2EC7">
        <w:rPr>
          <w:rFonts w:ascii="新宋体" w:eastAsia="新宋体" w:hAnsi="新宋体" w:hint="eastAsia"/>
          <w:color w:val="000000"/>
          <w:szCs w:val="21"/>
        </w:rPr>
        <w:t>；</w:t>
      </w:r>
    </w:p>
    <w:p w14:paraId="035A34CE" w14:textId="05F9D2AE"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10．法律法规、理财产品合同以及依据理财产品合同制订的其它法律文件所规定的其它权利。</w:t>
      </w:r>
    </w:p>
    <w:p w14:paraId="36A8762A" w14:textId="77777777" w:rsidR="00F3383A" w:rsidRPr="00F3383A" w:rsidRDefault="00F3383A" w:rsidP="00F3383A">
      <w:pPr>
        <w:adjustRightInd w:val="0"/>
        <w:snapToGrid w:val="0"/>
        <w:spacing w:line="360" w:lineRule="auto"/>
        <w:ind w:firstLineChars="200" w:firstLine="422"/>
        <w:rPr>
          <w:rFonts w:ascii="新宋体" w:eastAsia="新宋体" w:hAnsi="新宋体"/>
          <w:b/>
          <w:szCs w:val="21"/>
        </w:rPr>
      </w:pPr>
      <w:r w:rsidRPr="00F3383A">
        <w:rPr>
          <w:rFonts w:ascii="新宋体" w:eastAsia="新宋体" w:hAnsi="新宋体"/>
          <w:b/>
          <w:color w:val="000000"/>
          <w:szCs w:val="21"/>
        </w:rPr>
        <w:t>（二）理财产品管理人的义务：</w:t>
      </w:r>
    </w:p>
    <w:p w14:paraId="77C9FB5D" w14:textId="645C9626"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1．遵守法律法规和理财产品合同的约定</w:t>
      </w:r>
      <w:r w:rsidR="004B2EC7">
        <w:rPr>
          <w:rFonts w:ascii="新宋体" w:eastAsia="新宋体" w:hAnsi="新宋体" w:hint="eastAsia"/>
          <w:color w:val="000000"/>
          <w:szCs w:val="21"/>
        </w:rPr>
        <w:t>；</w:t>
      </w:r>
    </w:p>
    <w:p w14:paraId="1ABD0B22" w14:textId="4EF928E3"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2．恪尽职守，依照诚实信用、勤勉尽责的原则，谨慎、有效管理和运用理财资产</w:t>
      </w:r>
      <w:r w:rsidR="004B2EC7">
        <w:rPr>
          <w:rFonts w:ascii="新宋体" w:eastAsia="新宋体" w:hAnsi="新宋体" w:hint="eastAsia"/>
          <w:color w:val="000000"/>
          <w:szCs w:val="21"/>
        </w:rPr>
        <w:t>；</w:t>
      </w:r>
    </w:p>
    <w:p w14:paraId="6160E400"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3．充分考虑本理财产品的特点，设置相应的部门并配备足够的具有专业资格的人员进行理财投资分析、决策，以专业化的经营方式管理和运作理财资产，防范和减少风险；</w:t>
      </w:r>
    </w:p>
    <w:p w14:paraId="5D17CD3C"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4．按照法律、行政法规、监管规定和理财产品投资协议、销售协议的约定，办理理财产品的认（申）购、赎回，不得擅自拒绝接受投资者的认（申）购、赎回申请。暂停或者开放认（申）购、赎回等业务的，应当按照相关规定和投资协</w:t>
      </w:r>
      <w:r>
        <w:rPr>
          <w:rFonts w:ascii="新宋体" w:eastAsia="新宋体" w:hAnsi="新宋体"/>
          <w:color w:val="000000"/>
          <w:szCs w:val="21"/>
        </w:rPr>
        <w:t>议、销售协议约定说明具体原因和依据</w:t>
      </w:r>
      <w:r>
        <w:rPr>
          <w:rFonts w:ascii="新宋体" w:eastAsia="新宋体" w:hAnsi="新宋体" w:hint="eastAsia"/>
          <w:color w:val="000000"/>
          <w:szCs w:val="21"/>
        </w:rPr>
        <w:t>；</w:t>
      </w:r>
    </w:p>
    <w:p w14:paraId="75294C96"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5．按照法律法规、监管规定、理财产品投资协议书、理财产品说明书、理财产品代理销售协议书等的约定收取销售</w:t>
      </w:r>
      <w:r>
        <w:rPr>
          <w:rFonts w:ascii="新宋体" w:eastAsia="新宋体" w:hAnsi="新宋体"/>
          <w:color w:val="000000"/>
          <w:szCs w:val="21"/>
        </w:rPr>
        <w:t>费用，并如实核算、记账；未经载明，不得对不同投资者适用不同费率</w:t>
      </w:r>
      <w:r>
        <w:rPr>
          <w:rFonts w:ascii="新宋体" w:eastAsia="新宋体" w:hAnsi="新宋体" w:hint="eastAsia"/>
          <w:color w:val="000000"/>
          <w:szCs w:val="21"/>
        </w:rPr>
        <w:t>；</w:t>
      </w:r>
    </w:p>
    <w:p w14:paraId="4C6C15DF" w14:textId="3F496CD5"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6．建立健全内部控制制度，保证</w:t>
      </w:r>
      <w:r w:rsidR="00162BB5">
        <w:rPr>
          <w:rFonts w:ascii="新宋体" w:eastAsia="新宋体" w:hAnsi="新宋体" w:hint="eastAsia"/>
          <w:color w:val="000000"/>
          <w:szCs w:val="21"/>
        </w:rPr>
        <w:t>青银</w:t>
      </w:r>
      <w:r w:rsidRPr="00F3383A">
        <w:rPr>
          <w:rFonts w:ascii="新宋体" w:eastAsia="新宋体" w:hAnsi="新宋体"/>
          <w:color w:val="000000"/>
          <w:szCs w:val="21"/>
        </w:rPr>
        <w:t>理财的</w:t>
      </w:r>
      <w:r w:rsidR="00606515">
        <w:rPr>
          <w:rFonts w:ascii="新宋体" w:eastAsia="新宋体" w:hAnsi="新宋体" w:hint="eastAsia"/>
          <w:color w:val="000000"/>
          <w:szCs w:val="21"/>
        </w:rPr>
        <w:t>自有</w:t>
      </w:r>
      <w:r w:rsidRPr="00F3383A">
        <w:rPr>
          <w:rFonts w:ascii="新宋体" w:eastAsia="新宋体" w:hAnsi="新宋体"/>
          <w:color w:val="000000"/>
          <w:szCs w:val="21"/>
        </w:rPr>
        <w:t>财产和理财财产相互独立，对所管理的不同理财财产分别管理、分别记账，进行投资；</w:t>
      </w:r>
    </w:p>
    <w:p w14:paraId="698FDDC2" w14:textId="7EE0F85F"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lastRenderedPageBreak/>
        <w:t>7．除依据法律法规和理财产品合同的约定外，不得利用理财资产为</w:t>
      </w:r>
      <w:r w:rsidR="00162BB5">
        <w:rPr>
          <w:rFonts w:ascii="新宋体" w:eastAsia="新宋体" w:hAnsi="新宋体" w:hint="eastAsia"/>
          <w:color w:val="000000"/>
          <w:szCs w:val="21"/>
        </w:rPr>
        <w:t>青银</w:t>
      </w:r>
      <w:r w:rsidRPr="00F3383A">
        <w:rPr>
          <w:rFonts w:ascii="新宋体" w:eastAsia="新宋体" w:hAnsi="新宋体"/>
          <w:color w:val="000000"/>
          <w:szCs w:val="21"/>
        </w:rPr>
        <w:t>理财自身及任</w:t>
      </w:r>
      <w:r>
        <w:rPr>
          <w:rFonts w:ascii="新宋体" w:eastAsia="新宋体" w:hAnsi="新宋体"/>
          <w:color w:val="000000"/>
          <w:szCs w:val="21"/>
        </w:rPr>
        <w:t>何第三方谋取利益</w:t>
      </w:r>
      <w:r>
        <w:rPr>
          <w:rFonts w:ascii="新宋体" w:eastAsia="新宋体" w:hAnsi="新宋体" w:hint="eastAsia"/>
          <w:color w:val="000000"/>
          <w:szCs w:val="21"/>
        </w:rPr>
        <w:t>；</w:t>
      </w:r>
    </w:p>
    <w:p w14:paraId="4F3B3BD5"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8．除依据法律法规和理财产品合同的约定外，</w:t>
      </w:r>
      <w:r>
        <w:rPr>
          <w:rFonts w:ascii="新宋体" w:eastAsia="新宋体" w:hAnsi="新宋体" w:hint="eastAsia"/>
          <w:color w:val="000000"/>
          <w:szCs w:val="21"/>
        </w:rPr>
        <w:t>青银</w:t>
      </w:r>
      <w:r>
        <w:rPr>
          <w:rFonts w:ascii="新宋体" w:eastAsia="新宋体" w:hAnsi="新宋体"/>
          <w:color w:val="000000"/>
          <w:szCs w:val="21"/>
        </w:rPr>
        <w:t>理财不得委托第三人管理、运作理财资产</w:t>
      </w:r>
      <w:r>
        <w:rPr>
          <w:rFonts w:ascii="新宋体" w:eastAsia="新宋体" w:hAnsi="新宋体" w:hint="eastAsia"/>
          <w:color w:val="000000"/>
          <w:szCs w:val="21"/>
        </w:rPr>
        <w:t>；</w:t>
      </w:r>
    </w:p>
    <w:p w14:paraId="2E734AD9"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9．依照法律、行政法规、规章规定和理财产品合同约定，接受理财产品托管人对理财产品投资运作的监督；</w:t>
      </w:r>
    </w:p>
    <w:p w14:paraId="180B32F6"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10．</w:t>
      </w:r>
      <w:r>
        <w:rPr>
          <w:rFonts w:ascii="新宋体" w:eastAsia="新宋体" w:hAnsi="新宋体" w:hint="eastAsia"/>
          <w:color w:val="000000"/>
          <w:szCs w:val="21"/>
        </w:rPr>
        <w:t>采取</w:t>
      </w:r>
      <w:r w:rsidRPr="00F3383A">
        <w:rPr>
          <w:rFonts w:ascii="新宋体" w:eastAsia="新宋体" w:hAnsi="新宋体"/>
          <w:color w:val="000000"/>
          <w:szCs w:val="21"/>
        </w:rPr>
        <w:t>必要措施对理</w:t>
      </w:r>
      <w:r>
        <w:rPr>
          <w:rFonts w:ascii="新宋体" w:eastAsia="新宋体" w:hAnsi="新宋体"/>
          <w:color w:val="000000"/>
          <w:szCs w:val="21"/>
        </w:rPr>
        <w:t>财产品托管人违反法律法规、理财产品合同和托管协议的行为进行纠正</w:t>
      </w:r>
      <w:r>
        <w:rPr>
          <w:rFonts w:ascii="新宋体" w:eastAsia="新宋体" w:hAnsi="新宋体" w:hint="eastAsia"/>
          <w:color w:val="000000"/>
          <w:szCs w:val="21"/>
        </w:rPr>
        <w:t>；</w:t>
      </w:r>
    </w:p>
    <w:p w14:paraId="00AECFD4" w14:textId="6ACD50FD"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11</w:t>
      </w:r>
      <w:r>
        <w:rPr>
          <w:rFonts w:ascii="新宋体" w:eastAsia="新宋体" w:hAnsi="新宋体"/>
          <w:color w:val="000000"/>
          <w:szCs w:val="21"/>
        </w:rPr>
        <w:t>．按规定计算并披露理财产品的份额净值</w:t>
      </w:r>
      <w:r>
        <w:rPr>
          <w:rFonts w:ascii="新宋体" w:eastAsia="新宋体" w:hAnsi="新宋体" w:hint="eastAsia"/>
          <w:color w:val="000000"/>
          <w:szCs w:val="21"/>
        </w:rPr>
        <w:t>；</w:t>
      </w:r>
    </w:p>
    <w:p w14:paraId="4D679DEE"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12</w:t>
      </w:r>
      <w:r>
        <w:rPr>
          <w:rFonts w:ascii="新宋体" w:eastAsia="新宋体" w:hAnsi="新宋体"/>
          <w:color w:val="000000"/>
          <w:szCs w:val="21"/>
        </w:rPr>
        <w:t>．严格按照法律法规和理财产品合同的约定履行信息披露及报告义务</w:t>
      </w:r>
      <w:r>
        <w:rPr>
          <w:rFonts w:ascii="新宋体" w:eastAsia="新宋体" w:hAnsi="新宋体" w:hint="eastAsia"/>
          <w:color w:val="000000"/>
          <w:szCs w:val="21"/>
        </w:rPr>
        <w:t>；</w:t>
      </w:r>
    </w:p>
    <w:p w14:paraId="1B2289DB" w14:textId="16085446"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13．根据相关法律法规严格履行投资者信息保密责任，</w:t>
      </w:r>
      <w:r w:rsidR="00000EB5">
        <w:rPr>
          <w:rFonts w:ascii="新宋体" w:eastAsia="新宋体" w:hAnsi="新宋体" w:hint="eastAsia"/>
          <w:color w:val="000000"/>
          <w:szCs w:val="21"/>
        </w:rPr>
        <w:t>未经投资者书面同意，</w:t>
      </w:r>
      <w:r w:rsidRPr="00F3383A">
        <w:rPr>
          <w:rFonts w:ascii="新宋体" w:eastAsia="新宋体" w:hAnsi="新宋体"/>
          <w:color w:val="000000"/>
          <w:szCs w:val="21"/>
        </w:rPr>
        <w:t>除监管机构或司</w:t>
      </w:r>
      <w:r>
        <w:rPr>
          <w:rFonts w:ascii="新宋体" w:eastAsia="新宋体" w:hAnsi="新宋体"/>
          <w:color w:val="000000"/>
          <w:szCs w:val="21"/>
        </w:rPr>
        <w:t>法机关等有权机构外，不得对其他第三方提供任何投资者信息</w:t>
      </w:r>
      <w:r>
        <w:rPr>
          <w:rFonts w:ascii="新宋体" w:eastAsia="新宋体" w:hAnsi="新宋体" w:hint="eastAsia"/>
          <w:color w:val="000000"/>
          <w:szCs w:val="21"/>
        </w:rPr>
        <w:t>；</w:t>
      </w:r>
    </w:p>
    <w:p w14:paraId="170F660F"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14．依据理财产品合同规定制订理财收益分配方案并向本理财产品的理财份额持有人分配理财收益；</w:t>
      </w:r>
    </w:p>
    <w:p w14:paraId="44CB1C93"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15．监督理财产品托管人按法律法规和理财产品合同规定履行自己的义务。理财产品托管人因过错造成理财资产损失时，</w:t>
      </w:r>
      <w:r>
        <w:rPr>
          <w:rFonts w:ascii="新宋体" w:eastAsia="新宋体" w:hAnsi="新宋体" w:hint="eastAsia"/>
          <w:color w:val="000000"/>
          <w:szCs w:val="21"/>
        </w:rPr>
        <w:t>青银</w:t>
      </w:r>
      <w:r w:rsidRPr="00F3383A">
        <w:rPr>
          <w:rFonts w:ascii="新宋体" w:eastAsia="新宋体" w:hAnsi="新宋体"/>
          <w:color w:val="000000"/>
          <w:szCs w:val="21"/>
        </w:rPr>
        <w:t>理财应为理财利益向理财产品托管人追索，除法律法规另有规定外，不承担连带责任；</w:t>
      </w:r>
    </w:p>
    <w:p w14:paraId="3F14060C"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16．不从事任何有损本理财产品其它当事人合法权益的活动。</w:t>
      </w:r>
    </w:p>
    <w:p w14:paraId="7E3103AB" w14:textId="0F2E1D5B" w:rsidR="00F3383A" w:rsidRPr="00F3383A" w:rsidRDefault="00995339" w:rsidP="00F3383A">
      <w:pPr>
        <w:adjustRightInd w:val="0"/>
        <w:snapToGrid w:val="0"/>
        <w:spacing w:line="360" w:lineRule="auto"/>
        <w:ind w:firstLineChars="200" w:firstLine="422"/>
        <w:rPr>
          <w:rFonts w:ascii="新宋体" w:eastAsia="新宋体" w:hAnsi="新宋体"/>
          <w:b/>
          <w:szCs w:val="21"/>
        </w:rPr>
      </w:pPr>
      <w:r>
        <w:rPr>
          <w:rFonts w:ascii="新宋体" w:eastAsia="新宋体" w:hAnsi="新宋体" w:hint="eastAsia"/>
          <w:b/>
          <w:color w:val="000000"/>
          <w:szCs w:val="21"/>
        </w:rPr>
        <w:t>四</w:t>
      </w:r>
      <w:r w:rsidR="00F3383A" w:rsidRPr="00F3383A">
        <w:rPr>
          <w:rFonts w:ascii="新宋体" w:eastAsia="新宋体" w:hAnsi="新宋体"/>
          <w:b/>
          <w:color w:val="000000"/>
          <w:szCs w:val="21"/>
        </w:rPr>
        <w:t>、免责</w:t>
      </w:r>
    </w:p>
    <w:p w14:paraId="3966A8CA" w14:textId="5B1C60BF" w:rsidR="00F3383A" w:rsidRPr="003F7DE6" w:rsidRDefault="00F3383A" w:rsidP="00F3383A">
      <w:pPr>
        <w:adjustRightInd w:val="0"/>
        <w:snapToGrid w:val="0"/>
        <w:spacing w:line="360" w:lineRule="auto"/>
        <w:ind w:firstLineChars="200" w:firstLine="422"/>
        <w:rPr>
          <w:rFonts w:ascii="新宋体" w:eastAsia="新宋体" w:hAnsi="新宋体"/>
          <w:b/>
          <w:szCs w:val="21"/>
        </w:rPr>
      </w:pPr>
      <w:r w:rsidRPr="003F7DE6">
        <w:rPr>
          <w:rFonts w:ascii="新宋体" w:eastAsia="新宋体" w:hAnsi="新宋体"/>
          <w:b/>
          <w:color w:val="000000"/>
          <w:szCs w:val="21"/>
        </w:rPr>
        <w:t>1．由于地震、火灾、战争</w:t>
      </w:r>
      <w:r w:rsidR="00B90EC8" w:rsidRPr="003F7DE6">
        <w:rPr>
          <w:rFonts w:ascii="新宋体" w:eastAsia="新宋体" w:hAnsi="新宋体" w:hint="eastAsia"/>
          <w:b/>
          <w:color w:val="000000"/>
          <w:szCs w:val="21"/>
        </w:rPr>
        <w:t>、政府行为、疫情</w:t>
      </w:r>
      <w:r w:rsidRPr="003F7DE6">
        <w:rPr>
          <w:rFonts w:ascii="新宋体" w:eastAsia="新宋体" w:hAnsi="新宋体"/>
          <w:b/>
          <w:color w:val="000000"/>
          <w:szCs w:val="21"/>
        </w:rPr>
        <w:t>等不可抗力导致的交易中断、延误等风险及损失，</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理财不承担责任，但应在条件允许的情况下通知投资者，并采取一切必要的补</w:t>
      </w:r>
      <w:r w:rsidR="00783DA5" w:rsidRPr="003F7DE6">
        <w:rPr>
          <w:rFonts w:ascii="新宋体" w:eastAsia="新宋体" w:hAnsi="新宋体" w:hint="eastAsia"/>
          <w:b/>
          <w:color w:val="000000"/>
          <w:szCs w:val="21"/>
        </w:rPr>
        <w:t>救</w:t>
      </w:r>
      <w:r w:rsidRPr="003F7DE6">
        <w:rPr>
          <w:rFonts w:ascii="新宋体" w:eastAsia="新宋体" w:hAnsi="新宋体"/>
          <w:b/>
          <w:color w:val="000000"/>
          <w:szCs w:val="21"/>
        </w:rPr>
        <w:t>措施以减小不可抗力造成的损失。</w:t>
      </w:r>
    </w:p>
    <w:p w14:paraId="326615FD" w14:textId="77777777" w:rsidR="00F3383A" w:rsidRPr="003F7DE6" w:rsidRDefault="00F3383A" w:rsidP="00F3383A">
      <w:pPr>
        <w:adjustRightInd w:val="0"/>
        <w:snapToGrid w:val="0"/>
        <w:spacing w:line="360" w:lineRule="auto"/>
        <w:ind w:firstLineChars="200" w:firstLine="422"/>
        <w:rPr>
          <w:rFonts w:ascii="新宋体" w:eastAsia="新宋体" w:hAnsi="新宋体"/>
          <w:b/>
          <w:szCs w:val="21"/>
        </w:rPr>
      </w:pPr>
      <w:r w:rsidRPr="003F7DE6">
        <w:rPr>
          <w:rFonts w:ascii="新宋体" w:eastAsia="新宋体" w:hAnsi="新宋体"/>
          <w:b/>
          <w:color w:val="000000"/>
          <w:szCs w:val="21"/>
        </w:rPr>
        <w:t>2．由于国家的有关法律、法规、规章、政策的改变、紧急措施的出台而导致的风险，</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理财不承担责任。</w:t>
      </w:r>
    </w:p>
    <w:p w14:paraId="11666521" w14:textId="77777777" w:rsidR="00F3383A" w:rsidRPr="003F7DE6" w:rsidRDefault="00F3383A" w:rsidP="00F3383A">
      <w:pPr>
        <w:adjustRightInd w:val="0"/>
        <w:snapToGrid w:val="0"/>
        <w:spacing w:line="360" w:lineRule="auto"/>
        <w:ind w:firstLineChars="200" w:firstLine="422"/>
        <w:rPr>
          <w:rFonts w:ascii="新宋体" w:eastAsia="新宋体" w:hAnsi="新宋体"/>
          <w:b/>
          <w:szCs w:val="21"/>
        </w:rPr>
      </w:pPr>
      <w:r w:rsidRPr="003F7DE6">
        <w:rPr>
          <w:rFonts w:ascii="新宋体" w:eastAsia="新宋体" w:hAnsi="新宋体"/>
          <w:b/>
          <w:color w:val="000000"/>
          <w:szCs w:val="21"/>
        </w:rPr>
        <w:t>3．</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理财依照恪尽职守、诚实信用、谨慎勤勉的原则管理和运用理财产品财产，但不保证理财产品财产中的认（申）购资金本金不受损失，也不保证一定盈利及最低收益。本理财产品运作过程中，</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依据产品合同约定管理和运用理财产品财产所产生的风险，由理财产品财产及投资者承担。投资者应充分知晓投资运营的相关风险，具体风险详见风险揭示书及理财产品说明书的具体约定，其风险应由投资者自担。</w:t>
      </w:r>
    </w:p>
    <w:p w14:paraId="20424AC7" w14:textId="77777777" w:rsidR="00F3383A" w:rsidRPr="003F7DE6" w:rsidRDefault="00F3383A" w:rsidP="00F3383A">
      <w:pPr>
        <w:adjustRightInd w:val="0"/>
        <w:snapToGrid w:val="0"/>
        <w:spacing w:line="360" w:lineRule="auto"/>
        <w:ind w:firstLineChars="200" w:firstLine="422"/>
        <w:rPr>
          <w:rFonts w:ascii="新宋体" w:eastAsia="新宋体" w:hAnsi="新宋体"/>
          <w:b/>
          <w:szCs w:val="21"/>
        </w:rPr>
      </w:pPr>
      <w:r w:rsidRPr="003F7DE6">
        <w:rPr>
          <w:rFonts w:ascii="新宋体" w:eastAsia="新宋体" w:hAnsi="新宋体"/>
          <w:b/>
          <w:color w:val="000000"/>
          <w:szCs w:val="21"/>
        </w:rPr>
        <w:t>4．非因</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理财原因（包括但不限于理财产品投资者遗失本协议、理财产品合同被盗用、投资者资金账户被司法机关等有权部门冻结、扣划及其他投资者自身原因、投资标的固有风险等原因）造成的损失，</w:t>
      </w:r>
      <w:r w:rsidRPr="003F7DE6">
        <w:rPr>
          <w:rFonts w:ascii="新宋体" w:eastAsia="新宋体" w:hAnsi="新宋体" w:hint="eastAsia"/>
          <w:b/>
          <w:color w:val="000000"/>
          <w:szCs w:val="21"/>
        </w:rPr>
        <w:t>青银</w:t>
      </w:r>
      <w:r w:rsidRPr="003F7DE6">
        <w:rPr>
          <w:rFonts w:ascii="新宋体" w:eastAsia="新宋体" w:hAnsi="新宋体"/>
          <w:b/>
          <w:color w:val="000000"/>
          <w:szCs w:val="21"/>
        </w:rPr>
        <w:t>理财不承担责任。</w:t>
      </w:r>
    </w:p>
    <w:p w14:paraId="2A3B7914" w14:textId="7847C317" w:rsidR="00F3383A" w:rsidRPr="00F3383A" w:rsidRDefault="00995339" w:rsidP="00F3383A">
      <w:pPr>
        <w:adjustRightInd w:val="0"/>
        <w:snapToGrid w:val="0"/>
        <w:spacing w:line="360" w:lineRule="auto"/>
        <w:ind w:firstLineChars="200" w:firstLine="422"/>
        <w:rPr>
          <w:rFonts w:ascii="新宋体" w:eastAsia="新宋体" w:hAnsi="新宋体"/>
          <w:b/>
          <w:szCs w:val="21"/>
        </w:rPr>
      </w:pPr>
      <w:r>
        <w:rPr>
          <w:rFonts w:ascii="新宋体" w:eastAsia="新宋体" w:hAnsi="新宋体" w:hint="eastAsia"/>
          <w:b/>
          <w:color w:val="000000"/>
          <w:szCs w:val="21"/>
        </w:rPr>
        <w:t>五</w:t>
      </w:r>
      <w:r w:rsidR="00F3383A" w:rsidRPr="00F3383A">
        <w:rPr>
          <w:rFonts w:ascii="新宋体" w:eastAsia="新宋体" w:hAnsi="新宋体"/>
          <w:b/>
          <w:color w:val="000000"/>
          <w:szCs w:val="21"/>
        </w:rPr>
        <w:t>、协议的生效、变更及终止</w:t>
      </w:r>
    </w:p>
    <w:p w14:paraId="46A0C45D" w14:textId="3A7B19A4" w:rsidR="00F3383A" w:rsidRDefault="00F3383A" w:rsidP="00F3383A">
      <w:pPr>
        <w:adjustRightInd w:val="0"/>
        <w:snapToGrid w:val="0"/>
        <w:spacing w:line="360" w:lineRule="auto"/>
        <w:ind w:firstLineChars="200" w:firstLine="420"/>
        <w:rPr>
          <w:rFonts w:ascii="新宋体" w:eastAsia="新宋体" w:hAnsi="新宋体"/>
          <w:color w:val="000000"/>
          <w:szCs w:val="21"/>
        </w:rPr>
      </w:pPr>
      <w:r w:rsidRPr="00F3383A">
        <w:rPr>
          <w:rFonts w:ascii="新宋体" w:eastAsia="新宋体" w:hAnsi="新宋体"/>
          <w:color w:val="000000"/>
          <w:szCs w:val="21"/>
        </w:rPr>
        <w:t>1．本投资协议自投资者成功缴纳购买资金并经</w:t>
      </w:r>
      <w:r>
        <w:rPr>
          <w:rFonts w:ascii="新宋体" w:eastAsia="新宋体" w:hAnsi="新宋体" w:hint="eastAsia"/>
          <w:color w:val="000000"/>
          <w:szCs w:val="21"/>
        </w:rPr>
        <w:t>青银</w:t>
      </w:r>
      <w:r w:rsidRPr="00F3383A">
        <w:rPr>
          <w:rFonts w:ascii="新宋体" w:eastAsia="新宋体" w:hAnsi="新宋体"/>
          <w:color w:val="000000"/>
          <w:szCs w:val="21"/>
        </w:rPr>
        <w:t>理财</w:t>
      </w:r>
      <w:r>
        <w:rPr>
          <w:rFonts w:ascii="新宋体" w:eastAsia="新宋体" w:hAnsi="新宋体" w:hint="eastAsia"/>
          <w:color w:val="000000"/>
          <w:szCs w:val="21"/>
        </w:rPr>
        <w:t>销售服务机构</w:t>
      </w:r>
      <w:r w:rsidRPr="00F3383A">
        <w:rPr>
          <w:rFonts w:ascii="新宋体" w:eastAsia="新宋体" w:hAnsi="新宋体"/>
          <w:color w:val="000000"/>
          <w:szCs w:val="21"/>
        </w:rPr>
        <w:t>系统确认购买份</w:t>
      </w:r>
      <w:r w:rsidRPr="00F3383A">
        <w:rPr>
          <w:rFonts w:ascii="新宋体" w:eastAsia="新宋体" w:hAnsi="新宋体"/>
          <w:color w:val="000000"/>
          <w:szCs w:val="21"/>
        </w:rPr>
        <w:lastRenderedPageBreak/>
        <w:t>额后成立并生效。</w:t>
      </w:r>
    </w:p>
    <w:p w14:paraId="1F9384AB" w14:textId="53F67496" w:rsidR="004F19E5" w:rsidRPr="00E97A57" w:rsidRDefault="004F19E5" w:rsidP="00F3383A">
      <w:pPr>
        <w:adjustRightInd w:val="0"/>
        <w:snapToGrid w:val="0"/>
        <w:spacing w:line="360" w:lineRule="auto"/>
        <w:ind w:firstLineChars="200" w:firstLine="422"/>
        <w:rPr>
          <w:rFonts w:ascii="新宋体" w:eastAsia="新宋体" w:hAnsi="新宋体"/>
          <w:b/>
          <w:color w:val="000000"/>
          <w:szCs w:val="21"/>
        </w:rPr>
      </w:pPr>
      <w:r w:rsidRPr="00E97A57">
        <w:rPr>
          <w:rFonts w:ascii="新宋体" w:eastAsia="新宋体" w:hAnsi="新宋体"/>
          <w:b/>
          <w:color w:val="000000"/>
          <w:szCs w:val="21"/>
        </w:rPr>
        <w:t>通过线上渠道认（申）购时，</w:t>
      </w:r>
      <w:r w:rsidRPr="00E97A57">
        <w:rPr>
          <w:rFonts w:ascii="新宋体" w:eastAsia="新宋体" w:hAnsi="新宋体" w:hint="eastAsia"/>
          <w:b/>
          <w:color w:val="000000"/>
          <w:szCs w:val="21"/>
        </w:rPr>
        <w:t>投资者</w:t>
      </w:r>
      <w:r w:rsidRPr="00E97A57">
        <w:rPr>
          <w:rFonts w:ascii="新宋体" w:eastAsia="新宋体" w:hAnsi="新宋体"/>
          <w:b/>
          <w:color w:val="000000"/>
          <w:szCs w:val="21"/>
        </w:rPr>
        <w:t>使用的身份认证要素（包括但不限于账号、网银登录名、证件号码、手机号码、密码、数字证书、USBKey、动态密码等）或其他交易安全措施所完成的一切交易操作均视为</w:t>
      </w:r>
      <w:r w:rsidRPr="00E97A57">
        <w:rPr>
          <w:rFonts w:ascii="新宋体" w:eastAsia="新宋体" w:hAnsi="新宋体" w:hint="eastAsia"/>
          <w:b/>
          <w:color w:val="000000"/>
          <w:szCs w:val="21"/>
        </w:rPr>
        <w:t>投资者</w:t>
      </w:r>
      <w:r w:rsidRPr="00E97A57">
        <w:rPr>
          <w:rFonts w:ascii="新宋体" w:eastAsia="新宋体" w:hAnsi="新宋体"/>
          <w:b/>
          <w:color w:val="000000"/>
          <w:szCs w:val="21"/>
        </w:rPr>
        <w:t>所为，上述操作所产生的业务指令均为处理业务的合法有效凭证，与在纸质合同上手写签名或盖章具有同等法律效力，双方无需另行签署纸质合同，</w:t>
      </w:r>
      <w:r w:rsidRPr="00E97A57">
        <w:rPr>
          <w:rFonts w:ascii="新宋体" w:eastAsia="新宋体" w:hAnsi="新宋体" w:hint="eastAsia"/>
          <w:b/>
          <w:color w:val="000000"/>
          <w:szCs w:val="21"/>
        </w:rPr>
        <w:t>投资者</w:t>
      </w:r>
      <w:r w:rsidRPr="00E97A57">
        <w:rPr>
          <w:rFonts w:ascii="新宋体" w:eastAsia="新宋体" w:hAnsi="新宋体"/>
          <w:b/>
          <w:color w:val="000000"/>
          <w:szCs w:val="21"/>
        </w:rPr>
        <w:t>应对此产生的后果负责。</w:t>
      </w:r>
      <w:r w:rsidRPr="00E97A57">
        <w:rPr>
          <w:rFonts w:ascii="新宋体" w:eastAsia="新宋体" w:hAnsi="新宋体" w:hint="eastAsia"/>
          <w:b/>
          <w:color w:val="000000"/>
          <w:szCs w:val="21"/>
        </w:rPr>
        <w:t>投资者</w:t>
      </w:r>
      <w:r w:rsidRPr="00E97A57">
        <w:rPr>
          <w:rFonts w:ascii="新宋体" w:eastAsia="新宋体" w:hAnsi="新宋体"/>
          <w:b/>
          <w:color w:val="000000"/>
          <w:szCs w:val="21"/>
        </w:rPr>
        <w:t>同意不因电子合同单方保存在</w:t>
      </w:r>
      <w:r w:rsidRPr="00E97A57">
        <w:rPr>
          <w:rFonts w:ascii="新宋体" w:eastAsia="新宋体" w:hAnsi="新宋体" w:hint="eastAsia"/>
          <w:b/>
          <w:color w:val="000000"/>
          <w:szCs w:val="21"/>
        </w:rPr>
        <w:t>管理人</w:t>
      </w:r>
      <w:r w:rsidRPr="00E97A57">
        <w:rPr>
          <w:rFonts w:ascii="新宋体" w:eastAsia="新宋体" w:hAnsi="新宋体"/>
          <w:b/>
          <w:color w:val="000000"/>
          <w:szCs w:val="21"/>
        </w:rPr>
        <w:t>或代理销售机构系统而提出异议。</w:t>
      </w:r>
    </w:p>
    <w:p w14:paraId="209A044C" w14:textId="77777777"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2．投资者在办理理财产品的购买、赎回等交易后，需通过</w:t>
      </w:r>
      <w:r>
        <w:rPr>
          <w:rFonts w:ascii="新宋体" w:eastAsia="新宋体" w:hAnsi="新宋体" w:hint="eastAsia"/>
          <w:color w:val="000000"/>
          <w:szCs w:val="21"/>
        </w:rPr>
        <w:t>销售服务机构</w:t>
      </w:r>
      <w:r w:rsidRPr="00F3383A">
        <w:rPr>
          <w:rFonts w:ascii="新宋体" w:eastAsia="新宋体" w:hAnsi="新宋体"/>
          <w:color w:val="000000"/>
          <w:szCs w:val="21"/>
        </w:rPr>
        <w:t>营业网点或网上销售平台查询相关交易的确认情况，最终以</w:t>
      </w:r>
      <w:r>
        <w:rPr>
          <w:rFonts w:ascii="新宋体" w:eastAsia="新宋体" w:hAnsi="新宋体" w:hint="eastAsia"/>
          <w:color w:val="000000"/>
          <w:szCs w:val="21"/>
        </w:rPr>
        <w:t>青银</w:t>
      </w:r>
      <w:r w:rsidRPr="00F3383A">
        <w:rPr>
          <w:rFonts w:ascii="新宋体" w:eastAsia="新宋体" w:hAnsi="新宋体"/>
          <w:color w:val="000000"/>
          <w:szCs w:val="21"/>
        </w:rPr>
        <w:t>理财确认的产品购买金额或赎回份额作为理财产品合同的生效或终止依据。</w:t>
      </w:r>
    </w:p>
    <w:p w14:paraId="4FA38949" w14:textId="48AEAB5E"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3．除按《理财产品说明书》约定</w:t>
      </w:r>
      <w:r w:rsidR="00BA1F12">
        <w:rPr>
          <w:rFonts w:ascii="新宋体" w:eastAsia="新宋体" w:hAnsi="新宋体"/>
          <w:color w:val="000000"/>
          <w:szCs w:val="21"/>
        </w:rPr>
        <w:t>青银理财</w:t>
      </w:r>
      <w:r w:rsidRPr="00F3383A">
        <w:rPr>
          <w:rFonts w:ascii="新宋体" w:eastAsia="新宋体" w:hAnsi="新宋体"/>
          <w:color w:val="000000"/>
          <w:szCs w:val="21"/>
        </w:rPr>
        <w:t>或</w:t>
      </w:r>
      <w:r w:rsidR="00BA1F12">
        <w:rPr>
          <w:rFonts w:ascii="新宋体" w:eastAsia="新宋体" w:hAnsi="新宋体"/>
          <w:color w:val="000000"/>
          <w:szCs w:val="21"/>
        </w:rPr>
        <w:t>投资者</w:t>
      </w:r>
      <w:r w:rsidRPr="00F3383A">
        <w:rPr>
          <w:rFonts w:ascii="新宋体" w:eastAsia="新宋体" w:hAnsi="新宋体"/>
          <w:color w:val="000000"/>
          <w:szCs w:val="21"/>
        </w:rPr>
        <w:t>享有的提前终止权外，</w:t>
      </w:r>
      <w:r w:rsidR="00BA1F12">
        <w:rPr>
          <w:rFonts w:ascii="新宋体" w:eastAsia="新宋体" w:hAnsi="新宋体"/>
          <w:color w:val="000000"/>
          <w:szCs w:val="21"/>
        </w:rPr>
        <w:t>投资者</w:t>
      </w:r>
      <w:r w:rsidRPr="00F3383A">
        <w:rPr>
          <w:rFonts w:ascii="新宋体" w:eastAsia="新宋体" w:hAnsi="新宋体"/>
          <w:color w:val="000000"/>
          <w:szCs w:val="21"/>
        </w:rPr>
        <w:t>有违约行为时，</w:t>
      </w:r>
      <w:r w:rsidR="00BA1F12">
        <w:rPr>
          <w:rFonts w:ascii="新宋体" w:eastAsia="新宋体" w:hAnsi="新宋体"/>
          <w:color w:val="000000"/>
          <w:szCs w:val="21"/>
        </w:rPr>
        <w:t>青银理财</w:t>
      </w:r>
      <w:r w:rsidRPr="00F3383A">
        <w:rPr>
          <w:rFonts w:ascii="新宋体" w:eastAsia="新宋体" w:hAnsi="新宋体"/>
          <w:color w:val="000000"/>
          <w:szCs w:val="21"/>
        </w:rPr>
        <w:t>有权提前终止本协议。</w:t>
      </w:r>
    </w:p>
    <w:p w14:paraId="4FD69FC4" w14:textId="4D8A9ACF" w:rsidR="00F3383A" w:rsidRPr="003F7DE6" w:rsidRDefault="00F3383A" w:rsidP="00F3383A">
      <w:pPr>
        <w:adjustRightInd w:val="0"/>
        <w:snapToGrid w:val="0"/>
        <w:spacing w:line="360" w:lineRule="auto"/>
        <w:ind w:firstLineChars="200" w:firstLine="422"/>
        <w:rPr>
          <w:rFonts w:ascii="新宋体" w:eastAsia="新宋体" w:hAnsi="新宋体"/>
          <w:b/>
          <w:szCs w:val="21"/>
        </w:rPr>
      </w:pPr>
      <w:r w:rsidRPr="003F7DE6">
        <w:rPr>
          <w:rFonts w:ascii="新宋体" w:eastAsia="新宋体" w:hAnsi="新宋体"/>
          <w:b/>
          <w:color w:val="000000"/>
          <w:szCs w:val="21"/>
        </w:rPr>
        <w:t>4．</w:t>
      </w:r>
      <w:r w:rsidR="00BA1F12" w:rsidRPr="003F7DE6">
        <w:rPr>
          <w:rFonts w:ascii="新宋体" w:eastAsia="新宋体" w:hAnsi="新宋体" w:hint="eastAsia"/>
          <w:b/>
          <w:color w:val="000000"/>
          <w:szCs w:val="21"/>
        </w:rPr>
        <w:t>青银理财</w:t>
      </w:r>
      <w:r w:rsidRPr="003F7DE6">
        <w:rPr>
          <w:rFonts w:ascii="新宋体" w:eastAsia="新宋体" w:hAnsi="新宋体"/>
          <w:b/>
          <w:color w:val="000000"/>
          <w:szCs w:val="21"/>
        </w:rPr>
        <w:t>或代销机构发现或有合理理由怀疑</w:t>
      </w:r>
      <w:r w:rsidR="00BA1F12" w:rsidRPr="003F7DE6">
        <w:rPr>
          <w:rFonts w:ascii="新宋体" w:eastAsia="新宋体" w:hAnsi="新宋体" w:hint="eastAsia"/>
          <w:b/>
          <w:color w:val="000000"/>
          <w:szCs w:val="21"/>
        </w:rPr>
        <w:t>投资者</w:t>
      </w:r>
      <w:r w:rsidRPr="003F7DE6">
        <w:rPr>
          <w:rFonts w:ascii="新宋体" w:eastAsia="新宋体" w:hAnsi="新宋体"/>
          <w:b/>
          <w:color w:val="000000"/>
          <w:szCs w:val="21"/>
        </w:rPr>
        <w:t>或其资金存在洗钱、恐怖融资、逃税等嫌疑，</w:t>
      </w:r>
      <w:r w:rsidR="007B4A30" w:rsidRPr="00E97A57">
        <w:rPr>
          <w:rFonts w:ascii="新宋体" w:eastAsia="新宋体" w:hAnsi="新宋体"/>
          <w:b/>
          <w:color w:val="000000"/>
          <w:szCs w:val="21"/>
        </w:rPr>
        <w:t>或</w:t>
      </w:r>
      <w:r w:rsidR="007B4A30" w:rsidRPr="00E97A57">
        <w:rPr>
          <w:rFonts w:ascii="新宋体" w:eastAsia="新宋体" w:hAnsi="新宋体" w:hint="eastAsia"/>
          <w:b/>
          <w:color w:val="000000"/>
          <w:szCs w:val="21"/>
        </w:rPr>
        <w:t>投资者</w:t>
      </w:r>
      <w:r w:rsidR="007B4A30" w:rsidRPr="00E97A57">
        <w:rPr>
          <w:rFonts w:ascii="新宋体" w:eastAsia="新宋体" w:hAnsi="新宋体"/>
          <w:b/>
          <w:color w:val="000000"/>
          <w:szCs w:val="21"/>
        </w:rPr>
        <w:t>交易资金被国家有权机关采取冻结、扣划等保全措施时，</w:t>
      </w:r>
      <w:r w:rsidR="00BA1F12" w:rsidRPr="003F7DE6">
        <w:rPr>
          <w:rFonts w:ascii="新宋体" w:eastAsia="新宋体" w:hAnsi="新宋体" w:hint="eastAsia"/>
          <w:b/>
          <w:color w:val="000000"/>
          <w:szCs w:val="21"/>
        </w:rPr>
        <w:t>青银理财</w:t>
      </w:r>
      <w:r w:rsidRPr="003F7DE6">
        <w:rPr>
          <w:rFonts w:ascii="新宋体" w:eastAsia="新宋体" w:hAnsi="新宋体"/>
          <w:b/>
          <w:color w:val="000000"/>
          <w:szCs w:val="21"/>
        </w:rPr>
        <w:t>有权提前终止本协议，造成</w:t>
      </w:r>
      <w:r w:rsidR="00BA1F12" w:rsidRPr="003F7DE6">
        <w:rPr>
          <w:rFonts w:ascii="新宋体" w:eastAsia="新宋体" w:hAnsi="新宋体" w:hint="eastAsia"/>
          <w:b/>
          <w:color w:val="000000"/>
          <w:szCs w:val="21"/>
        </w:rPr>
        <w:t>投资者</w:t>
      </w:r>
      <w:r w:rsidRPr="003F7DE6">
        <w:rPr>
          <w:rFonts w:ascii="新宋体" w:eastAsia="新宋体" w:hAnsi="新宋体"/>
          <w:b/>
          <w:color w:val="000000"/>
          <w:szCs w:val="21"/>
        </w:rPr>
        <w:t>损失的，</w:t>
      </w:r>
      <w:r w:rsidR="00BA1F12" w:rsidRPr="003F7DE6">
        <w:rPr>
          <w:rFonts w:ascii="新宋体" w:eastAsia="新宋体" w:hAnsi="新宋体" w:hint="eastAsia"/>
          <w:b/>
          <w:color w:val="000000"/>
          <w:szCs w:val="21"/>
        </w:rPr>
        <w:t>青银理财</w:t>
      </w:r>
      <w:r w:rsidRPr="003F7DE6">
        <w:rPr>
          <w:rFonts w:ascii="新宋体" w:eastAsia="新宋体" w:hAnsi="新宋体"/>
          <w:b/>
          <w:color w:val="000000"/>
          <w:szCs w:val="21"/>
        </w:rPr>
        <w:t>不承担责任。</w:t>
      </w:r>
    </w:p>
    <w:p w14:paraId="77BC11C5" w14:textId="3EB80ABF" w:rsidR="00F3383A" w:rsidRPr="00F3383A" w:rsidRDefault="00F3383A" w:rsidP="00F3383A">
      <w:pPr>
        <w:adjustRightInd w:val="0"/>
        <w:snapToGrid w:val="0"/>
        <w:spacing w:line="360" w:lineRule="auto"/>
        <w:ind w:firstLineChars="200" w:firstLine="420"/>
        <w:rPr>
          <w:rFonts w:ascii="新宋体" w:eastAsia="新宋体" w:hAnsi="新宋体"/>
          <w:szCs w:val="21"/>
        </w:rPr>
      </w:pPr>
      <w:r w:rsidRPr="00F3383A">
        <w:rPr>
          <w:rFonts w:ascii="新宋体" w:eastAsia="新宋体" w:hAnsi="新宋体"/>
          <w:color w:val="000000"/>
          <w:szCs w:val="21"/>
        </w:rPr>
        <w:t>5．本协议及《理财产品说明书》、《理财产品代理销售</w:t>
      </w:r>
      <w:r w:rsidR="00606515">
        <w:rPr>
          <w:rFonts w:ascii="新宋体" w:eastAsia="新宋体" w:hAnsi="新宋体" w:hint="eastAsia"/>
          <w:color w:val="000000"/>
          <w:szCs w:val="21"/>
        </w:rPr>
        <w:t>服务</w:t>
      </w:r>
      <w:r w:rsidRPr="00F3383A">
        <w:rPr>
          <w:rFonts w:ascii="新宋体" w:eastAsia="新宋体" w:hAnsi="新宋体"/>
          <w:color w:val="000000"/>
          <w:szCs w:val="21"/>
        </w:rPr>
        <w:t>协议》项下各方权利义务履行完毕之日，本协议自动终止。</w:t>
      </w:r>
    </w:p>
    <w:p w14:paraId="2F0A8396" w14:textId="48FAC8D6" w:rsidR="00E0706C" w:rsidRDefault="00995339" w:rsidP="00F3383A">
      <w:pPr>
        <w:adjustRightInd w:val="0"/>
        <w:snapToGrid w:val="0"/>
        <w:spacing w:line="360" w:lineRule="auto"/>
        <w:ind w:firstLineChars="200" w:firstLine="422"/>
        <w:rPr>
          <w:rFonts w:ascii="新宋体" w:eastAsia="新宋体" w:hAnsi="新宋体"/>
          <w:b/>
          <w:color w:val="000000"/>
          <w:szCs w:val="21"/>
        </w:rPr>
      </w:pPr>
      <w:r>
        <w:rPr>
          <w:rFonts w:ascii="新宋体" w:eastAsia="新宋体" w:hAnsi="新宋体" w:hint="eastAsia"/>
          <w:b/>
          <w:color w:val="000000"/>
          <w:szCs w:val="21"/>
        </w:rPr>
        <w:t>六</w:t>
      </w:r>
      <w:r w:rsidR="00F3383A" w:rsidRPr="00F3383A">
        <w:rPr>
          <w:rFonts w:ascii="新宋体" w:eastAsia="新宋体" w:hAnsi="新宋体"/>
          <w:b/>
          <w:color w:val="000000"/>
          <w:szCs w:val="21"/>
        </w:rPr>
        <w:t>、</w:t>
      </w:r>
      <w:r w:rsidR="00E0706C">
        <w:rPr>
          <w:rFonts w:ascii="新宋体" w:eastAsia="新宋体" w:hAnsi="新宋体" w:hint="eastAsia"/>
          <w:b/>
          <w:color w:val="000000"/>
          <w:szCs w:val="21"/>
        </w:rPr>
        <w:t>法律适用及争议解决</w:t>
      </w:r>
    </w:p>
    <w:p w14:paraId="64327C2B" w14:textId="51E434E8" w:rsidR="001971CF" w:rsidRDefault="001971CF" w:rsidP="001971CF">
      <w:pPr>
        <w:adjustRightInd w:val="0"/>
        <w:snapToGrid w:val="0"/>
        <w:spacing w:line="360" w:lineRule="auto"/>
        <w:ind w:firstLineChars="200" w:firstLine="420"/>
        <w:rPr>
          <w:rFonts w:ascii="新宋体" w:eastAsia="新宋体" w:hAnsi="新宋体"/>
          <w:color w:val="000000"/>
          <w:szCs w:val="21"/>
        </w:rPr>
      </w:pPr>
      <w:r w:rsidRPr="001971CF">
        <w:rPr>
          <w:rFonts w:ascii="新宋体" w:eastAsia="新宋体" w:hAnsi="新宋体" w:hint="eastAsia"/>
          <w:color w:val="000000"/>
          <w:szCs w:val="21"/>
        </w:rPr>
        <w:t>1</w:t>
      </w:r>
      <w:r w:rsidRPr="001971CF">
        <w:rPr>
          <w:rFonts w:ascii="新宋体" w:eastAsia="新宋体" w:hAnsi="新宋体"/>
          <w:color w:val="000000"/>
          <w:szCs w:val="21"/>
        </w:rPr>
        <w:t>.</w:t>
      </w:r>
      <w:r>
        <w:rPr>
          <w:rFonts w:ascii="新宋体" w:eastAsia="新宋体" w:hAnsi="新宋体"/>
          <w:color w:val="000000"/>
          <w:szCs w:val="21"/>
        </w:rPr>
        <w:t xml:space="preserve"> </w:t>
      </w:r>
      <w:r w:rsidRPr="001971CF">
        <w:rPr>
          <w:rFonts w:ascii="新宋体" w:eastAsia="新宋体" w:hAnsi="新宋体" w:hint="eastAsia"/>
          <w:color w:val="000000"/>
          <w:szCs w:val="21"/>
        </w:rPr>
        <w:t>本协议及其他理财产品销售文件均适用中国法律并依据中国法律解释。为本协议之目的，中国法律指中华人民共和国大陆地区的法律，不包括香港特别行政区、澳门特别行政区和台湾地区的法律。</w:t>
      </w:r>
    </w:p>
    <w:p w14:paraId="5212041A" w14:textId="78355663" w:rsidR="001971CF" w:rsidRDefault="001971CF" w:rsidP="001971CF">
      <w:pPr>
        <w:adjustRightInd w:val="0"/>
        <w:snapToGrid w:val="0"/>
        <w:spacing w:line="360" w:lineRule="auto"/>
        <w:ind w:firstLineChars="200" w:firstLine="420"/>
        <w:rPr>
          <w:rFonts w:ascii="新宋体" w:eastAsia="新宋体" w:hAnsi="新宋体"/>
          <w:color w:val="000000"/>
          <w:szCs w:val="21"/>
        </w:rPr>
      </w:pPr>
      <w:r>
        <w:rPr>
          <w:rFonts w:ascii="新宋体" w:eastAsia="新宋体" w:hAnsi="新宋体" w:hint="eastAsia"/>
          <w:color w:val="000000"/>
          <w:szCs w:val="21"/>
        </w:rPr>
        <w:t>2</w:t>
      </w:r>
      <w:r>
        <w:rPr>
          <w:rFonts w:ascii="新宋体" w:eastAsia="新宋体" w:hAnsi="新宋体"/>
          <w:color w:val="000000"/>
          <w:szCs w:val="21"/>
        </w:rPr>
        <w:t xml:space="preserve">. </w:t>
      </w:r>
      <w:r w:rsidRPr="001971CF">
        <w:rPr>
          <w:rFonts w:ascii="新宋体" w:eastAsia="新宋体" w:hAnsi="新宋体" w:hint="eastAsia"/>
          <w:color w:val="000000"/>
          <w:szCs w:val="21"/>
        </w:rPr>
        <w:t>由本协议引起的或与本协议有关的，包括本协议的效力、无效、违约或终止的任何争议、争论或主张，应由双方协商解决。协商解决不成的，双方应将该等争议、争论或主张提交青岛仲裁委员会按照其仲裁规则进行仲裁，仲裁地点在青岛。仲裁裁决是终局性的，对双方均有约束力。除非仲裁裁决另有规定</w:t>
      </w:r>
      <w:r>
        <w:rPr>
          <w:rFonts w:ascii="新宋体" w:eastAsia="新宋体" w:hAnsi="新宋体" w:hint="eastAsia"/>
          <w:color w:val="000000"/>
          <w:szCs w:val="21"/>
        </w:rPr>
        <w:t>，</w:t>
      </w:r>
      <w:r w:rsidRPr="001971CF">
        <w:rPr>
          <w:rFonts w:ascii="新宋体" w:eastAsia="新宋体" w:hAnsi="新宋体" w:hint="eastAsia"/>
          <w:color w:val="000000"/>
          <w:szCs w:val="21"/>
        </w:rPr>
        <w:t>双方为仲裁而实际支付的费用</w:t>
      </w:r>
      <w:r w:rsidRPr="001971CF">
        <w:rPr>
          <w:rFonts w:ascii="新宋体" w:eastAsia="新宋体" w:hAnsi="新宋体"/>
          <w:color w:val="000000"/>
          <w:szCs w:val="21"/>
        </w:rPr>
        <w:t>(包括但不限于仲裁费和律师费)由败诉方承担</w:t>
      </w:r>
      <w:r>
        <w:rPr>
          <w:rFonts w:ascii="新宋体" w:eastAsia="新宋体" w:hAnsi="新宋体" w:hint="eastAsia"/>
          <w:color w:val="000000"/>
          <w:szCs w:val="21"/>
        </w:rPr>
        <w:t>。</w:t>
      </w:r>
    </w:p>
    <w:p w14:paraId="13BF2A7C" w14:textId="7F14F85F" w:rsidR="001971CF" w:rsidRPr="001971CF" w:rsidRDefault="001971CF" w:rsidP="001971CF">
      <w:pPr>
        <w:adjustRightInd w:val="0"/>
        <w:snapToGrid w:val="0"/>
        <w:spacing w:line="360" w:lineRule="auto"/>
        <w:ind w:firstLineChars="200" w:firstLine="420"/>
        <w:rPr>
          <w:rFonts w:ascii="新宋体" w:eastAsia="新宋体" w:hAnsi="新宋体"/>
          <w:color w:val="000000"/>
          <w:szCs w:val="21"/>
        </w:rPr>
      </w:pPr>
      <w:r>
        <w:rPr>
          <w:rFonts w:ascii="新宋体" w:eastAsia="新宋体" w:hAnsi="新宋体" w:hint="eastAsia"/>
          <w:color w:val="000000"/>
          <w:szCs w:val="21"/>
        </w:rPr>
        <w:t>3</w:t>
      </w:r>
      <w:r>
        <w:rPr>
          <w:rFonts w:ascii="新宋体" w:eastAsia="新宋体" w:hAnsi="新宋体"/>
          <w:color w:val="000000"/>
          <w:szCs w:val="21"/>
        </w:rPr>
        <w:t xml:space="preserve">. </w:t>
      </w:r>
      <w:r w:rsidRPr="001971CF">
        <w:rPr>
          <w:rFonts w:ascii="新宋体" w:eastAsia="新宋体" w:hAnsi="新宋体" w:hint="eastAsia"/>
          <w:color w:val="000000"/>
          <w:szCs w:val="21"/>
        </w:rPr>
        <w:t>在协商或仲裁期间，对于本协议不涉及争议部分的条款，合同当事人仍须履行。</w:t>
      </w:r>
    </w:p>
    <w:p w14:paraId="507A84CD" w14:textId="4DA6A6AA" w:rsidR="00F3383A" w:rsidRDefault="00995339" w:rsidP="00F3383A">
      <w:pPr>
        <w:adjustRightInd w:val="0"/>
        <w:snapToGrid w:val="0"/>
        <w:spacing w:line="360" w:lineRule="auto"/>
        <w:ind w:firstLineChars="200" w:firstLine="422"/>
        <w:rPr>
          <w:rFonts w:ascii="新宋体" w:eastAsia="新宋体" w:hAnsi="新宋体"/>
          <w:b/>
          <w:color w:val="000000"/>
          <w:szCs w:val="21"/>
        </w:rPr>
      </w:pPr>
      <w:r>
        <w:rPr>
          <w:rFonts w:ascii="新宋体" w:eastAsia="新宋体" w:hAnsi="新宋体" w:hint="eastAsia"/>
          <w:b/>
          <w:color w:val="000000"/>
          <w:szCs w:val="21"/>
        </w:rPr>
        <w:t>七</w:t>
      </w:r>
      <w:r w:rsidR="00F3383A" w:rsidRPr="00F3383A">
        <w:rPr>
          <w:rFonts w:ascii="新宋体" w:eastAsia="新宋体" w:hAnsi="新宋体"/>
          <w:b/>
          <w:color w:val="000000"/>
          <w:szCs w:val="21"/>
        </w:rPr>
        <w:t>、本投资协议书未尽事宜，以理财产品说明书、风险揭示书、代理销售协议书、投资者权益须知的约定内容为准。</w:t>
      </w:r>
    </w:p>
    <w:p w14:paraId="0B192F6A" w14:textId="0D54B3BC" w:rsidR="00E0706C" w:rsidRDefault="00995339" w:rsidP="00F3383A">
      <w:pPr>
        <w:adjustRightInd w:val="0"/>
        <w:snapToGrid w:val="0"/>
        <w:spacing w:line="360" w:lineRule="auto"/>
        <w:ind w:firstLineChars="200" w:firstLine="422"/>
        <w:rPr>
          <w:rFonts w:ascii="新宋体" w:eastAsia="新宋体" w:hAnsi="新宋体"/>
          <w:b/>
          <w:color w:val="000000"/>
          <w:szCs w:val="21"/>
        </w:rPr>
      </w:pPr>
      <w:r>
        <w:rPr>
          <w:rFonts w:ascii="新宋体" w:eastAsia="新宋体" w:hAnsi="新宋体" w:hint="eastAsia"/>
          <w:b/>
          <w:color w:val="000000"/>
          <w:szCs w:val="21"/>
        </w:rPr>
        <w:t>八</w:t>
      </w:r>
      <w:r w:rsidR="00E0706C">
        <w:rPr>
          <w:rFonts w:ascii="新宋体" w:eastAsia="新宋体" w:hAnsi="新宋体" w:hint="eastAsia"/>
          <w:b/>
          <w:color w:val="000000"/>
          <w:szCs w:val="21"/>
        </w:rPr>
        <w:t>、送达</w:t>
      </w:r>
    </w:p>
    <w:p w14:paraId="2F09FECD" w14:textId="057FDCF6" w:rsidR="00E0706C" w:rsidRPr="008E0705" w:rsidRDefault="00E0706C" w:rsidP="00E0706C">
      <w:pPr>
        <w:adjustRightInd w:val="0"/>
        <w:snapToGrid w:val="0"/>
        <w:spacing w:line="360" w:lineRule="auto"/>
        <w:ind w:firstLineChars="200" w:firstLine="422"/>
        <w:rPr>
          <w:rFonts w:ascii="宋体" w:eastAsia="宋体" w:hAnsi="宋体"/>
          <w:b/>
          <w:bCs/>
          <w:szCs w:val="21"/>
        </w:rPr>
      </w:pPr>
      <w:r w:rsidRPr="008E0705">
        <w:rPr>
          <w:rFonts w:ascii="宋体" w:eastAsia="宋体" w:hAnsi="宋体"/>
          <w:b/>
          <w:bCs/>
          <w:szCs w:val="21"/>
        </w:rPr>
        <w:t>1</w:t>
      </w:r>
      <w:r w:rsidRPr="008E0705">
        <w:rPr>
          <w:rFonts w:ascii="宋体" w:eastAsia="宋体" w:hAnsi="宋体" w:hint="eastAsia"/>
          <w:b/>
          <w:bCs/>
          <w:szCs w:val="21"/>
        </w:rPr>
        <w:t>.</w:t>
      </w:r>
      <w:r w:rsidRPr="008E0705">
        <w:rPr>
          <w:rFonts w:ascii="宋体" w:eastAsia="宋体" w:hAnsi="宋体"/>
          <w:b/>
          <w:bCs/>
          <w:szCs w:val="21"/>
        </w:rPr>
        <w:t xml:space="preserve"> </w:t>
      </w:r>
      <w:r w:rsidR="00853D62" w:rsidRPr="008E0705">
        <w:rPr>
          <w:rFonts w:ascii="宋体" w:eastAsia="宋体" w:hAnsi="宋体" w:hint="eastAsia"/>
          <w:b/>
          <w:bCs/>
          <w:szCs w:val="21"/>
        </w:rPr>
        <w:t>投资者</w:t>
      </w:r>
      <w:r w:rsidRPr="008E0705">
        <w:rPr>
          <w:rFonts w:ascii="宋体" w:eastAsia="宋体" w:hAnsi="宋体"/>
          <w:b/>
          <w:bCs/>
          <w:szCs w:val="21"/>
        </w:rPr>
        <w:t>确认在</w:t>
      </w:r>
      <w:r w:rsidR="00DB77F5" w:rsidRPr="008E0705">
        <w:rPr>
          <w:rFonts w:ascii="宋体" w:eastAsia="宋体" w:hAnsi="宋体" w:hint="eastAsia"/>
          <w:b/>
          <w:bCs/>
          <w:szCs w:val="21"/>
        </w:rPr>
        <w:t>本理财交易过程</w:t>
      </w:r>
      <w:r w:rsidRPr="008E0705">
        <w:rPr>
          <w:rFonts w:ascii="宋体" w:eastAsia="宋体" w:hAnsi="宋体"/>
          <w:b/>
          <w:bCs/>
          <w:szCs w:val="21"/>
        </w:rPr>
        <w:t>中预留的地址为送达地址。</w:t>
      </w:r>
    </w:p>
    <w:p w14:paraId="2D80BE8A" w14:textId="44350096" w:rsidR="00E0706C" w:rsidRPr="00E0706C" w:rsidRDefault="00E0706C" w:rsidP="00E0706C">
      <w:pPr>
        <w:adjustRightInd w:val="0"/>
        <w:snapToGrid w:val="0"/>
        <w:spacing w:line="360" w:lineRule="auto"/>
        <w:ind w:firstLineChars="200" w:firstLine="420"/>
        <w:rPr>
          <w:rFonts w:ascii="宋体" w:eastAsia="宋体" w:hAnsi="宋体"/>
          <w:bCs/>
          <w:szCs w:val="21"/>
        </w:rPr>
      </w:pPr>
      <w:r w:rsidRPr="00E0706C">
        <w:rPr>
          <w:rFonts w:ascii="宋体" w:eastAsia="宋体" w:hAnsi="宋体"/>
          <w:bCs/>
          <w:szCs w:val="21"/>
        </w:rPr>
        <w:t>2</w:t>
      </w:r>
      <w:r>
        <w:rPr>
          <w:rFonts w:ascii="宋体" w:eastAsia="宋体" w:hAnsi="宋体" w:hint="eastAsia"/>
          <w:bCs/>
          <w:szCs w:val="21"/>
        </w:rPr>
        <w:t>.</w:t>
      </w:r>
      <w:r>
        <w:rPr>
          <w:rFonts w:ascii="宋体" w:eastAsia="宋体" w:hAnsi="宋体"/>
          <w:bCs/>
          <w:szCs w:val="21"/>
        </w:rPr>
        <w:t xml:space="preserve"> </w:t>
      </w:r>
      <w:r w:rsidRPr="00E0706C">
        <w:rPr>
          <w:rFonts w:ascii="宋体" w:eastAsia="宋体" w:hAnsi="宋体"/>
          <w:bCs/>
          <w:szCs w:val="21"/>
        </w:rPr>
        <w:t>本协议约定的送达地址系双方争议解决时人民法院/仲裁机构的法律文书送达地址，双方确认上述送达地址及送达方式适用于诉讼/仲裁的各阶段，包括但不限于一审、二审、再审、特别程序及执行程序。</w:t>
      </w:r>
    </w:p>
    <w:p w14:paraId="47A9AF14" w14:textId="0EEF83BC" w:rsidR="00E0706C" w:rsidRDefault="00E0706C" w:rsidP="00E0706C">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lastRenderedPageBreak/>
        <w:t>3</w:t>
      </w:r>
      <w:r>
        <w:rPr>
          <w:rFonts w:ascii="宋体" w:eastAsia="宋体" w:hAnsi="宋体"/>
          <w:bCs/>
          <w:szCs w:val="21"/>
        </w:rPr>
        <w:t xml:space="preserve">. </w:t>
      </w:r>
      <w:r w:rsidRPr="00E0706C">
        <w:rPr>
          <w:rFonts w:ascii="宋体" w:eastAsia="宋体" w:hAnsi="宋体"/>
          <w:bCs/>
          <w:szCs w:val="21"/>
        </w:rPr>
        <w:t>合同送达条款为独立条款，不受合同整体或其他条款的效力的影响。</w:t>
      </w:r>
    </w:p>
    <w:p w14:paraId="56029589" w14:textId="3235A335" w:rsidR="00E0706C" w:rsidRPr="00E0706C" w:rsidRDefault="00995339" w:rsidP="00E0706C">
      <w:pPr>
        <w:adjustRightInd w:val="0"/>
        <w:snapToGrid w:val="0"/>
        <w:spacing w:line="360" w:lineRule="auto"/>
        <w:ind w:firstLineChars="200" w:firstLine="422"/>
        <w:rPr>
          <w:rFonts w:ascii="宋体" w:eastAsia="宋体" w:hAnsi="宋体"/>
          <w:b/>
          <w:szCs w:val="21"/>
        </w:rPr>
      </w:pPr>
      <w:r>
        <w:rPr>
          <w:rFonts w:ascii="宋体" w:eastAsia="宋体" w:hAnsi="宋体" w:hint="eastAsia"/>
          <w:b/>
          <w:szCs w:val="21"/>
        </w:rPr>
        <w:t>九</w:t>
      </w:r>
      <w:r w:rsidR="00E0706C" w:rsidRPr="00E0706C">
        <w:rPr>
          <w:rFonts w:ascii="宋体" w:eastAsia="宋体" w:hAnsi="宋体" w:hint="eastAsia"/>
          <w:b/>
          <w:szCs w:val="21"/>
        </w:rPr>
        <w:t>、</w:t>
      </w:r>
      <w:r w:rsidR="00E0706C" w:rsidRPr="00E0706C">
        <w:rPr>
          <w:rFonts w:ascii="宋体" w:eastAsia="宋体" w:hAnsi="宋体"/>
          <w:b/>
          <w:szCs w:val="21"/>
        </w:rPr>
        <w:t>投诉及建议</w:t>
      </w:r>
    </w:p>
    <w:p w14:paraId="54AE3C17" w14:textId="75A298AA" w:rsidR="00E0706C" w:rsidRPr="00E0706C" w:rsidRDefault="00E0706C" w:rsidP="00E0706C">
      <w:pPr>
        <w:adjustRightInd w:val="0"/>
        <w:snapToGrid w:val="0"/>
        <w:spacing w:line="360" w:lineRule="auto"/>
        <w:ind w:firstLineChars="200" w:firstLine="420"/>
        <w:rPr>
          <w:rFonts w:ascii="宋体" w:eastAsia="宋体" w:hAnsi="宋体"/>
          <w:bCs/>
          <w:szCs w:val="21"/>
        </w:rPr>
      </w:pPr>
      <w:r w:rsidRPr="00E0706C">
        <w:rPr>
          <w:rFonts w:ascii="宋体" w:eastAsia="宋体" w:hAnsi="宋体" w:hint="eastAsia"/>
          <w:bCs/>
          <w:szCs w:val="21"/>
        </w:rPr>
        <w:t>如投资者对所购买的理财产品有任何意见或建议，</w:t>
      </w:r>
      <w:r w:rsidR="004C76E3" w:rsidRPr="008E0705">
        <w:rPr>
          <w:rFonts w:ascii="新宋体" w:eastAsia="新宋体" w:hAnsi="新宋体" w:hint="eastAsia"/>
          <w:szCs w:val="21"/>
        </w:rPr>
        <w:t>请向青银理财机构及各销售渠道进行咨询。</w:t>
      </w:r>
      <w:r w:rsidR="004C76E3" w:rsidRPr="008E0705">
        <w:rPr>
          <w:rFonts w:ascii="宋体" w:hAnsi="宋体" w:hint="eastAsia"/>
          <w:szCs w:val="21"/>
        </w:rPr>
        <w:t>青银理财客服热线</w:t>
      </w:r>
      <w:r w:rsidR="004C76E3" w:rsidRPr="008E0705">
        <w:rPr>
          <w:rFonts w:ascii="宋体" w:hAnsi="宋体"/>
          <w:szCs w:val="21"/>
        </w:rPr>
        <w:t>4000879666</w:t>
      </w:r>
      <w:r w:rsidRPr="00E0706C">
        <w:rPr>
          <w:rFonts w:ascii="宋体" w:eastAsia="宋体" w:hAnsi="宋体"/>
          <w:bCs/>
          <w:szCs w:val="21"/>
        </w:rPr>
        <w:t>。</w:t>
      </w:r>
    </w:p>
    <w:p w14:paraId="61CE2A0E" w14:textId="73127EB5" w:rsidR="00F3383A" w:rsidRPr="00F3383A" w:rsidRDefault="00BA1F12" w:rsidP="00F3383A">
      <w:pPr>
        <w:adjustRightInd w:val="0"/>
        <w:snapToGrid w:val="0"/>
        <w:spacing w:line="360" w:lineRule="auto"/>
        <w:ind w:firstLineChars="200" w:firstLine="420"/>
        <w:rPr>
          <w:rFonts w:ascii="新宋体" w:eastAsia="新宋体" w:hAnsi="新宋体"/>
          <w:color w:val="000000"/>
          <w:szCs w:val="21"/>
        </w:rPr>
      </w:pPr>
      <w:r>
        <w:rPr>
          <w:rFonts w:ascii="新宋体" w:eastAsia="新宋体" w:hAnsi="新宋体"/>
          <w:color w:val="000000"/>
          <w:szCs w:val="21"/>
        </w:rPr>
        <w:t>投资者</w:t>
      </w:r>
      <w:r w:rsidR="00F3383A" w:rsidRPr="00F3383A">
        <w:rPr>
          <w:rFonts w:ascii="新宋体" w:eastAsia="新宋体" w:hAnsi="新宋体"/>
          <w:color w:val="000000"/>
          <w:szCs w:val="21"/>
        </w:rPr>
        <w:t>（个人客户签字）：</w:t>
      </w:r>
      <w:r w:rsidR="00F3383A" w:rsidRPr="00F3383A">
        <w:rPr>
          <w:rFonts w:ascii="新宋体" w:eastAsia="新宋体" w:hAnsi="新宋体" w:hint="eastAsia"/>
          <w:color w:val="000000"/>
          <w:szCs w:val="21"/>
        </w:rPr>
        <w:t xml:space="preserve"> </w:t>
      </w:r>
      <w:r w:rsidR="00F3383A" w:rsidRPr="00F3383A">
        <w:rPr>
          <w:rFonts w:ascii="新宋体" w:eastAsia="新宋体" w:hAnsi="新宋体"/>
          <w:color w:val="000000"/>
          <w:szCs w:val="21"/>
        </w:rPr>
        <w:t xml:space="preserve">   </w:t>
      </w:r>
      <w:r w:rsidR="00F3383A">
        <w:rPr>
          <w:rFonts w:ascii="新宋体" w:eastAsia="新宋体" w:hAnsi="新宋体"/>
          <w:color w:val="000000"/>
          <w:szCs w:val="21"/>
        </w:rPr>
        <w:t xml:space="preserve">       </w:t>
      </w:r>
      <w:r>
        <w:rPr>
          <w:rFonts w:ascii="新宋体" w:eastAsia="新宋体" w:hAnsi="新宋体"/>
          <w:color w:val="000000"/>
          <w:szCs w:val="21"/>
        </w:rPr>
        <w:t xml:space="preserve"> 投资者</w:t>
      </w:r>
      <w:r w:rsidR="00F3383A" w:rsidRPr="00F3383A">
        <w:rPr>
          <w:rFonts w:ascii="新宋体" w:eastAsia="新宋体" w:hAnsi="新宋体"/>
          <w:color w:val="000000"/>
          <w:szCs w:val="21"/>
        </w:rPr>
        <w:t>（机构客户盖章）：</w:t>
      </w:r>
    </w:p>
    <w:p w14:paraId="7F652301" w14:textId="77777777" w:rsidR="00F3383A" w:rsidRPr="00F3383A" w:rsidRDefault="00F3383A" w:rsidP="00BA1F12">
      <w:pPr>
        <w:adjustRightInd w:val="0"/>
        <w:snapToGrid w:val="0"/>
        <w:spacing w:line="360" w:lineRule="auto"/>
        <w:ind w:firstLineChars="2000" w:firstLine="4200"/>
        <w:rPr>
          <w:rFonts w:ascii="新宋体" w:eastAsia="新宋体" w:hAnsi="新宋体"/>
          <w:color w:val="000000"/>
          <w:szCs w:val="21"/>
        </w:rPr>
      </w:pPr>
      <w:r w:rsidRPr="00F3383A">
        <w:rPr>
          <w:rFonts w:ascii="新宋体" w:eastAsia="新宋体" w:hAnsi="新宋体"/>
          <w:color w:val="000000"/>
          <w:szCs w:val="21"/>
        </w:rPr>
        <w:t>机构客户法定代表人或授权代表（签字或盖章）</w:t>
      </w:r>
    </w:p>
    <w:p w14:paraId="08FCB653" w14:textId="730900FD" w:rsidR="00035BE1" w:rsidRDefault="00035BE1" w:rsidP="00035BE1">
      <w:pPr>
        <w:adjustRightInd w:val="0"/>
        <w:snapToGrid w:val="0"/>
        <w:spacing w:beforeLines="50" w:before="156" w:line="360" w:lineRule="auto"/>
        <w:ind w:firstLineChars="200" w:firstLine="420"/>
        <w:rPr>
          <w:rFonts w:ascii="新宋体" w:eastAsia="新宋体" w:hAnsi="新宋体"/>
          <w:color w:val="000000"/>
          <w:szCs w:val="21"/>
        </w:rPr>
      </w:pPr>
    </w:p>
    <w:p w14:paraId="7F0B350A" w14:textId="7F92C8C3" w:rsidR="00F3383A" w:rsidRPr="00F3383A" w:rsidRDefault="00F3383A" w:rsidP="00B21012">
      <w:pPr>
        <w:adjustRightInd w:val="0"/>
        <w:snapToGrid w:val="0"/>
        <w:spacing w:line="360" w:lineRule="auto"/>
        <w:ind w:firstLineChars="200" w:firstLine="420"/>
        <w:jc w:val="right"/>
        <w:rPr>
          <w:rFonts w:ascii="新宋体" w:eastAsia="新宋体" w:hAnsi="新宋体"/>
          <w:szCs w:val="21"/>
        </w:rPr>
      </w:pPr>
      <w:r w:rsidRPr="00F3383A">
        <w:rPr>
          <w:rFonts w:ascii="新宋体" w:eastAsia="新宋体" w:hAnsi="新宋体"/>
          <w:color w:val="000000"/>
          <w:szCs w:val="21"/>
        </w:rPr>
        <w:t>签署日期：</w:t>
      </w:r>
      <w:r w:rsidRPr="00F3383A">
        <w:rPr>
          <w:rFonts w:ascii="新宋体" w:eastAsia="新宋体" w:hAnsi="新宋体"/>
          <w:color w:val="000000"/>
          <w:szCs w:val="21"/>
        </w:rPr>
        <w:tab/>
        <w:t>年</w:t>
      </w:r>
      <w:r w:rsidRPr="00F3383A">
        <w:rPr>
          <w:rFonts w:ascii="新宋体" w:eastAsia="新宋体" w:hAnsi="新宋体"/>
          <w:color w:val="000000"/>
          <w:szCs w:val="21"/>
        </w:rPr>
        <w:tab/>
      </w:r>
      <w:r w:rsidRPr="00F3383A">
        <w:rPr>
          <w:rFonts w:ascii="新宋体" w:eastAsia="新宋体" w:hAnsi="新宋体"/>
          <w:color w:val="000000"/>
          <w:szCs w:val="21"/>
        </w:rPr>
        <w:tab/>
        <w:t>月</w:t>
      </w:r>
      <w:r w:rsidRPr="00F3383A">
        <w:rPr>
          <w:rFonts w:ascii="新宋体" w:eastAsia="新宋体" w:hAnsi="新宋体"/>
          <w:color w:val="000000"/>
          <w:szCs w:val="21"/>
        </w:rPr>
        <w:tab/>
      </w:r>
      <w:r>
        <w:rPr>
          <w:rFonts w:ascii="新宋体" w:eastAsia="新宋体" w:hAnsi="新宋体"/>
          <w:color w:val="000000"/>
          <w:szCs w:val="21"/>
        </w:rPr>
        <w:t xml:space="preserve">   </w:t>
      </w:r>
      <w:r w:rsidRPr="00F3383A">
        <w:rPr>
          <w:rFonts w:ascii="新宋体" w:eastAsia="新宋体" w:hAnsi="新宋体"/>
          <w:color w:val="000000"/>
          <w:szCs w:val="21"/>
        </w:rPr>
        <w:t>日</w:t>
      </w:r>
    </w:p>
    <w:sectPr w:rsidR="00F3383A" w:rsidRPr="00F3383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A969" w16cex:dateUtc="2022-09-22T01:29:00Z"/>
  <w16cex:commentExtensible w16cex:durableId="26EBD1D2" w16cex:dateUtc="2022-10-08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08EF1" w16cid:durableId="26D6A969"/>
  <w16cid:commentId w16cid:paraId="000A74E4" w16cid:durableId="26EBD1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30C5" w14:textId="77777777" w:rsidR="003B54B3" w:rsidRDefault="003B54B3" w:rsidP="00F3383A">
      <w:r>
        <w:separator/>
      </w:r>
    </w:p>
  </w:endnote>
  <w:endnote w:type="continuationSeparator" w:id="0">
    <w:p w14:paraId="0029F698" w14:textId="77777777" w:rsidR="003B54B3" w:rsidRDefault="003B54B3" w:rsidP="00F3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A0629" w14:textId="77777777" w:rsidR="003B54B3" w:rsidRDefault="003B54B3" w:rsidP="00F3383A">
      <w:r>
        <w:separator/>
      </w:r>
    </w:p>
  </w:footnote>
  <w:footnote w:type="continuationSeparator" w:id="0">
    <w:p w14:paraId="6FD45520" w14:textId="77777777" w:rsidR="003B54B3" w:rsidRDefault="003B54B3" w:rsidP="00F3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93"/>
    <w:rsid w:val="00000EB5"/>
    <w:rsid w:val="00021DE0"/>
    <w:rsid w:val="000244B8"/>
    <w:rsid w:val="00035BE1"/>
    <w:rsid w:val="00073355"/>
    <w:rsid w:val="0009126D"/>
    <w:rsid w:val="000E5E40"/>
    <w:rsid w:val="00162BB5"/>
    <w:rsid w:val="001971CF"/>
    <w:rsid w:val="001A0C5F"/>
    <w:rsid w:val="001B139B"/>
    <w:rsid w:val="001C28A0"/>
    <w:rsid w:val="001E4744"/>
    <w:rsid w:val="002211E7"/>
    <w:rsid w:val="00254208"/>
    <w:rsid w:val="0027070C"/>
    <w:rsid w:val="002A6DCD"/>
    <w:rsid w:val="002B4B52"/>
    <w:rsid w:val="002E2799"/>
    <w:rsid w:val="002F0FF0"/>
    <w:rsid w:val="00313422"/>
    <w:rsid w:val="00320B42"/>
    <w:rsid w:val="00323D65"/>
    <w:rsid w:val="00375A28"/>
    <w:rsid w:val="003B54B3"/>
    <w:rsid w:val="003F45F7"/>
    <w:rsid w:val="003F7DE6"/>
    <w:rsid w:val="00412261"/>
    <w:rsid w:val="00452E3B"/>
    <w:rsid w:val="004A0308"/>
    <w:rsid w:val="004B2EC7"/>
    <w:rsid w:val="004C4EBC"/>
    <w:rsid w:val="004C515B"/>
    <w:rsid w:val="004C76E3"/>
    <w:rsid w:val="004E6918"/>
    <w:rsid w:val="004F19E5"/>
    <w:rsid w:val="00514C22"/>
    <w:rsid w:val="00584BF0"/>
    <w:rsid w:val="005A1863"/>
    <w:rsid w:val="005C75C5"/>
    <w:rsid w:val="005D1A7D"/>
    <w:rsid w:val="005E73C4"/>
    <w:rsid w:val="00600060"/>
    <w:rsid w:val="00606515"/>
    <w:rsid w:val="00611E88"/>
    <w:rsid w:val="006259E9"/>
    <w:rsid w:val="0063473C"/>
    <w:rsid w:val="00634C8B"/>
    <w:rsid w:val="00651E03"/>
    <w:rsid w:val="00674BB4"/>
    <w:rsid w:val="006A1C6E"/>
    <w:rsid w:val="006D0101"/>
    <w:rsid w:val="006D0C4B"/>
    <w:rsid w:val="006E2B86"/>
    <w:rsid w:val="00703585"/>
    <w:rsid w:val="007144A1"/>
    <w:rsid w:val="007345B7"/>
    <w:rsid w:val="00783DA5"/>
    <w:rsid w:val="007B2352"/>
    <w:rsid w:val="007B4A30"/>
    <w:rsid w:val="00853D62"/>
    <w:rsid w:val="0086688D"/>
    <w:rsid w:val="00870832"/>
    <w:rsid w:val="00893D22"/>
    <w:rsid w:val="008A5F4F"/>
    <w:rsid w:val="008B0C39"/>
    <w:rsid w:val="008E0705"/>
    <w:rsid w:val="008F3AE5"/>
    <w:rsid w:val="00923141"/>
    <w:rsid w:val="0093368B"/>
    <w:rsid w:val="00940B36"/>
    <w:rsid w:val="009410BE"/>
    <w:rsid w:val="009613FC"/>
    <w:rsid w:val="009829C0"/>
    <w:rsid w:val="009868D7"/>
    <w:rsid w:val="00990601"/>
    <w:rsid w:val="00995339"/>
    <w:rsid w:val="009B7F20"/>
    <w:rsid w:val="00A07A34"/>
    <w:rsid w:val="00A127CE"/>
    <w:rsid w:val="00A309EA"/>
    <w:rsid w:val="00A360AF"/>
    <w:rsid w:val="00A42357"/>
    <w:rsid w:val="00A957A0"/>
    <w:rsid w:val="00AC0662"/>
    <w:rsid w:val="00AD5196"/>
    <w:rsid w:val="00B05802"/>
    <w:rsid w:val="00B06C93"/>
    <w:rsid w:val="00B21012"/>
    <w:rsid w:val="00B90EC8"/>
    <w:rsid w:val="00BA1F12"/>
    <w:rsid w:val="00BA6A00"/>
    <w:rsid w:val="00BF24DC"/>
    <w:rsid w:val="00C00D76"/>
    <w:rsid w:val="00C12C55"/>
    <w:rsid w:val="00C32A54"/>
    <w:rsid w:val="00C50D4D"/>
    <w:rsid w:val="00C5650D"/>
    <w:rsid w:val="00C823D1"/>
    <w:rsid w:val="00CE7DA7"/>
    <w:rsid w:val="00D07A50"/>
    <w:rsid w:val="00D3248A"/>
    <w:rsid w:val="00D54FB8"/>
    <w:rsid w:val="00D678FC"/>
    <w:rsid w:val="00DB77F5"/>
    <w:rsid w:val="00DD4CC5"/>
    <w:rsid w:val="00E02393"/>
    <w:rsid w:val="00E02B8E"/>
    <w:rsid w:val="00E0706C"/>
    <w:rsid w:val="00E36AD0"/>
    <w:rsid w:val="00E815D0"/>
    <w:rsid w:val="00E97A57"/>
    <w:rsid w:val="00EC2ECE"/>
    <w:rsid w:val="00F3383A"/>
    <w:rsid w:val="00F33D62"/>
    <w:rsid w:val="00F6120C"/>
    <w:rsid w:val="00F77B86"/>
    <w:rsid w:val="00F86F38"/>
    <w:rsid w:val="00FA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1D6DA"/>
  <w15:chartTrackingRefBased/>
  <w15:docId w15:val="{DAA22EA3-06D1-4B21-884C-58D8379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383A"/>
    <w:rPr>
      <w:sz w:val="18"/>
      <w:szCs w:val="18"/>
    </w:rPr>
  </w:style>
  <w:style w:type="paragraph" w:styleId="a5">
    <w:name w:val="footer"/>
    <w:basedOn w:val="a"/>
    <w:link w:val="a6"/>
    <w:uiPriority w:val="99"/>
    <w:unhideWhenUsed/>
    <w:rsid w:val="00F3383A"/>
    <w:pPr>
      <w:tabs>
        <w:tab w:val="center" w:pos="4153"/>
        <w:tab w:val="right" w:pos="8306"/>
      </w:tabs>
      <w:snapToGrid w:val="0"/>
      <w:jc w:val="left"/>
    </w:pPr>
    <w:rPr>
      <w:sz w:val="18"/>
      <w:szCs w:val="18"/>
    </w:rPr>
  </w:style>
  <w:style w:type="character" w:customStyle="1" w:styleId="a6">
    <w:name w:val="页脚 字符"/>
    <w:basedOn w:val="a0"/>
    <w:link w:val="a5"/>
    <w:uiPriority w:val="99"/>
    <w:rsid w:val="00F3383A"/>
    <w:rPr>
      <w:sz w:val="18"/>
      <w:szCs w:val="18"/>
    </w:rPr>
  </w:style>
  <w:style w:type="character" w:styleId="a7">
    <w:name w:val="annotation reference"/>
    <w:basedOn w:val="a0"/>
    <w:uiPriority w:val="99"/>
    <w:semiHidden/>
    <w:unhideWhenUsed/>
    <w:rsid w:val="00162BB5"/>
    <w:rPr>
      <w:sz w:val="21"/>
      <w:szCs w:val="21"/>
    </w:rPr>
  </w:style>
  <w:style w:type="paragraph" w:styleId="a8">
    <w:name w:val="annotation text"/>
    <w:basedOn w:val="a"/>
    <w:link w:val="a9"/>
    <w:semiHidden/>
    <w:unhideWhenUsed/>
    <w:rsid w:val="00162BB5"/>
    <w:pPr>
      <w:jc w:val="left"/>
    </w:pPr>
  </w:style>
  <w:style w:type="character" w:customStyle="1" w:styleId="a9">
    <w:name w:val="批注文字 字符"/>
    <w:basedOn w:val="a0"/>
    <w:link w:val="a8"/>
    <w:uiPriority w:val="99"/>
    <w:semiHidden/>
    <w:rsid w:val="00162BB5"/>
  </w:style>
  <w:style w:type="paragraph" w:styleId="aa">
    <w:name w:val="annotation subject"/>
    <w:basedOn w:val="a8"/>
    <w:next w:val="a8"/>
    <w:link w:val="ab"/>
    <w:uiPriority w:val="99"/>
    <w:semiHidden/>
    <w:unhideWhenUsed/>
    <w:rsid w:val="00162BB5"/>
    <w:rPr>
      <w:b/>
      <w:bCs/>
    </w:rPr>
  </w:style>
  <w:style w:type="character" w:customStyle="1" w:styleId="ab">
    <w:name w:val="批注主题 字符"/>
    <w:basedOn w:val="a9"/>
    <w:link w:val="aa"/>
    <w:uiPriority w:val="99"/>
    <w:semiHidden/>
    <w:rsid w:val="00162BB5"/>
    <w:rPr>
      <w:b/>
      <w:bCs/>
    </w:rPr>
  </w:style>
  <w:style w:type="paragraph" w:styleId="ac">
    <w:name w:val="Balloon Text"/>
    <w:basedOn w:val="a"/>
    <w:link w:val="ad"/>
    <w:uiPriority w:val="99"/>
    <w:semiHidden/>
    <w:unhideWhenUsed/>
    <w:rsid w:val="00162BB5"/>
    <w:rPr>
      <w:sz w:val="18"/>
      <w:szCs w:val="18"/>
    </w:rPr>
  </w:style>
  <w:style w:type="character" w:customStyle="1" w:styleId="ad">
    <w:name w:val="批注框文本 字符"/>
    <w:basedOn w:val="a0"/>
    <w:link w:val="ac"/>
    <w:uiPriority w:val="99"/>
    <w:semiHidden/>
    <w:rsid w:val="00162BB5"/>
    <w:rPr>
      <w:sz w:val="18"/>
      <w:szCs w:val="18"/>
    </w:rPr>
  </w:style>
  <w:style w:type="paragraph" w:styleId="ae">
    <w:name w:val="Revision"/>
    <w:hidden/>
    <w:uiPriority w:val="99"/>
    <w:semiHidden/>
    <w:rsid w:val="00B90EC8"/>
  </w:style>
  <w:style w:type="character" w:customStyle="1" w:styleId="fontstyle01">
    <w:name w:val="fontstyle01"/>
    <w:basedOn w:val="a0"/>
    <w:rsid w:val="00313422"/>
    <w:rPr>
      <w:rFonts w:ascii="仿宋" w:eastAsia="仿宋" w:hAnsi="仿宋" w:hint="eastAsia"/>
      <w:b w:val="0"/>
      <w:bCs w:val="0"/>
      <w:i w:val="0"/>
      <w:iCs w:val="0"/>
      <w:color w:val="000000"/>
      <w:sz w:val="24"/>
      <w:szCs w:val="24"/>
    </w:rPr>
  </w:style>
  <w:style w:type="character" w:customStyle="1" w:styleId="Char">
    <w:name w:val="批注文字 Char"/>
    <w:semiHidden/>
    <w:rsid w:val="00F33D62"/>
    <w:rPr>
      <w:rFonts w:ascii="宋体" w:hAnsi="宋体" w:cs="宋体"/>
      <w:szCs w:val="24"/>
      <w:lang w:val="x-none" w:eastAsia="x-none"/>
    </w:rPr>
  </w:style>
  <w:style w:type="paragraph" w:styleId="af">
    <w:name w:val="List Paragraph"/>
    <w:basedOn w:val="a"/>
    <w:uiPriority w:val="34"/>
    <w:qFormat/>
    <w:rsid w:val="001971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DFEC-9DBC-414A-AD4E-EE594149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7515</Words>
  <Characters>7578</Characters>
  <Application>Microsoft Office Word</Application>
  <DocSecurity>0</DocSecurity>
  <Lines>246</Lines>
  <Paragraphs>101</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qdccb</dc:creator>
  <cp:keywords/>
  <dc:description/>
  <cp:lastModifiedBy>LV</cp:lastModifiedBy>
  <cp:revision>7</cp:revision>
  <cp:lastPrinted>2024-02-01T01:07:00Z</cp:lastPrinted>
  <dcterms:created xsi:type="dcterms:W3CDTF">2024-07-10T08:58:00Z</dcterms:created>
  <dcterms:modified xsi:type="dcterms:W3CDTF">2024-07-16T06:48:00Z</dcterms:modified>
</cp:coreProperties>
</file>