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sz w:val="36"/>
          <w:szCs w:val="36"/>
        </w:rPr>
        <w:t>“</w:t>
      </w:r>
      <w:r>
        <w:rPr>
          <w:rFonts w:hint="eastAsia" w:ascii="楷体" w:hAnsi="楷体" w:eastAsia="楷体" w:cs="楷体"/>
          <w:b/>
          <w:bCs/>
          <w:spacing w:val="-1"/>
          <w:sz w:val="36"/>
          <w:szCs w:val="36"/>
        </w:rPr>
        <w:t>苏银理财恒源封闭债权135期</w:t>
      </w:r>
      <w:r>
        <w:rPr>
          <w:rFonts w:hint="eastAsia" w:ascii="楷体" w:hAnsi="楷体" w:eastAsia="楷体" w:cs="楷体"/>
          <w:b/>
          <w:sz w:val="36"/>
          <w:szCs w:val="36"/>
        </w:rPr>
        <w:t>”理财产品</w:t>
      </w:r>
    </w:p>
    <w:p>
      <w:pPr>
        <w:pStyle w:val="8"/>
        <w:spacing w:before="0" w:beforeAutospacing="0" w:after="0" w:afterAutospacing="0"/>
        <w:jc w:val="center"/>
        <w:rPr>
          <w:rFonts w:hint="eastAsia" w:ascii="楷体" w:hAnsi="楷体" w:eastAsia="楷体" w:cs="楷体"/>
          <w:b/>
          <w:sz w:val="36"/>
          <w:szCs w:val="36"/>
        </w:rPr>
      </w:pPr>
      <w:r>
        <w:rPr>
          <w:rFonts w:hint="eastAsia" w:ascii="楷体" w:hAnsi="楷体" w:eastAsia="楷体" w:cs="楷体"/>
          <w:b/>
          <w:bCs/>
          <w:spacing w:val="4"/>
          <w:sz w:val="36"/>
          <w:szCs w:val="36"/>
        </w:rPr>
        <w:t>2025年二季度</w:t>
      </w:r>
      <w:r>
        <w:rPr>
          <w:rFonts w:hint="eastAsia" w:ascii="楷体" w:hAnsi="楷体" w:eastAsia="楷体" w:cs="楷体"/>
          <w:b/>
          <w:sz w:val="36"/>
          <w:szCs w:val="36"/>
        </w:rPr>
        <w:t>投资管理报告</w:t>
      </w:r>
    </w:p>
    <w:p>
      <w:pPr>
        <w:pStyle w:val="8"/>
        <w:spacing w:before="0" w:beforeAutospacing="0" w:after="0" w:afterAutospacing="0" w:line="360" w:lineRule="auto"/>
        <w:rPr>
          <w:rFonts w:hint="eastAsia" w:ascii="楷体" w:hAnsi="楷体" w:eastAsia="楷体" w:cs="楷体"/>
        </w:rPr>
      </w:pPr>
      <w:r>
        <w:rPr>
          <w:rFonts w:hint="eastAsia" w:ascii="楷体" w:hAnsi="楷体" w:eastAsia="楷体" w:cs="楷体"/>
        </w:rPr>
        <w:t>尊敬的投资者：</w:t>
      </w:r>
    </w:p>
    <w:p>
      <w:pPr>
        <w:pStyle w:val="8"/>
        <w:spacing w:before="0" w:beforeAutospacing="0" w:after="0" w:afterAutospacing="0" w:line="360" w:lineRule="auto"/>
        <w:ind w:firstLine="566" w:firstLineChars="236"/>
        <w:rPr>
          <w:rFonts w:hint="eastAsia" w:ascii="楷体" w:hAnsi="楷体" w:eastAsia="楷体" w:cs="楷体"/>
        </w:rPr>
      </w:pPr>
      <w:r>
        <w:rPr>
          <w:rFonts w:hint="eastAsia" w:ascii="楷体" w:hAnsi="楷体" w:eastAsia="楷体" w:cs="楷体"/>
        </w:rPr>
        <w:t>“</w:t>
      </w:r>
      <w:r>
        <w:rPr>
          <w:rFonts w:hint="eastAsia" w:ascii="楷体" w:hAnsi="楷体" w:eastAsia="楷体" w:cs="楷体"/>
          <w:spacing w:val="-7"/>
        </w:rPr>
        <w:t>苏银理财恒源封闭债权135期</w:t>
      </w:r>
      <w:r>
        <w:rPr>
          <w:rFonts w:hint="eastAsia" w:ascii="楷体" w:hAnsi="楷体" w:eastAsia="楷体" w:cs="楷体"/>
        </w:rPr>
        <w:t>”理财产品于</w:t>
      </w:r>
      <w:r>
        <w:rPr>
          <w:rFonts w:hint="eastAsia" w:ascii="楷体" w:hAnsi="楷体" w:eastAsia="楷体" w:cs="楷体"/>
          <w:spacing w:val="-53"/>
        </w:rPr>
        <w:t xml:space="preserve"> </w:t>
      </w:r>
      <w:r>
        <w:rPr>
          <w:rFonts w:hint="eastAsia" w:ascii="楷体" w:hAnsi="楷体" w:eastAsia="楷体" w:cs="楷体"/>
          <w:spacing w:val="-7"/>
        </w:rPr>
        <w:t>2024年10月09日</w:t>
      </w:r>
      <w:r>
        <w:rPr>
          <w:rFonts w:hint="eastAsia" w:ascii="楷体" w:hAnsi="楷体" w:eastAsia="楷体" w:cs="楷体"/>
        </w:rPr>
        <w:t>成立，于</w:t>
      </w:r>
      <w:r>
        <w:rPr>
          <w:rFonts w:hint="eastAsia" w:ascii="楷体" w:hAnsi="楷体" w:eastAsia="楷体" w:cs="楷体"/>
          <w:spacing w:val="-7"/>
        </w:rPr>
        <w:t>2024年10月09日</w:t>
      </w:r>
      <w:r>
        <w:rPr>
          <w:rFonts w:hint="eastAsia" w:ascii="楷体" w:hAnsi="楷体" w:eastAsia="楷体" w:cs="楷体"/>
        </w:rPr>
        <w:t>正式投资运作。</w:t>
      </w:r>
    </w:p>
    <w:p>
      <w:pPr>
        <w:pStyle w:val="8"/>
        <w:spacing w:before="0" w:beforeAutospacing="0" w:after="0" w:afterAutospacing="0" w:line="360" w:lineRule="auto"/>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一</w:t>
      </w:r>
      <w:bookmarkStart w:id="0" w:name="_Toc535504139"/>
      <w:r>
        <w:rPr>
          <w:rFonts w:hint="eastAsia" w:ascii="楷体" w:hAnsi="楷体" w:eastAsia="楷体" w:cs="楷体"/>
        </w:rPr>
        <w:t>、产品基本情况</w:t>
      </w:r>
      <w:bookmarkEnd w:id="0"/>
    </w:p>
    <w:tbl>
      <w:tblPr>
        <w:tblStyle w:val="9"/>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4"/>
        <w:gridCol w:w="3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产品名称</w:t>
            </w:r>
          </w:p>
        </w:tc>
        <w:tc>
          <w:tcPr>
            <w:tcW w:w="3847" w:type="dxa"/>
          </w:tcPr>
          <w:p>
            <w:pPr>
              <w:pStyle w:val="25"/>
              <w:spacing w:before="56" w:line="202" w:lineRule="auto"/>
              <w:jc w:val="center"/>
              <w:rPr>
                <w:rFonts w:hint="eastAsia" w:ascii="楷体" w:hAnsi="楷体" w:eastAsia="楷体" w:cs="楷体"/>
                <w:sz w:val="24"/>
                <w:szCs w:val="24"/>
                <w:highlight w:val="yellow"/>
              </w:rPr>
            </w:pPr>
            <w:r>
              <w:rPr>
                <w:rFonts w:hint="eastAsia" w:ascii="楷体" w:hAnsi="楷体" w:eastAsia="楷体" w:cs="楷体"/>
                <w:spacing w:val="-6"/>
                <w:sz w:val="24"/>
                <w:szCs w:val="24"/>
              </w:rPr>
              <w:t>苏银理财恒源封闭债权135期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全国银行业理财信息登记系统登记编码</w:t>
            </w:r>
          </w:p>
        </w:tc>
        <w:tc>
          <w:tcPr>
            <w:tcW w:w="3847" w:type="dxa"/>
          </w:tcPr>
          <w:p>
            <w:pPr>
              <w:pStyle w:val="25"/>
              <w:spacing w:before="85" w:line="176"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Z7003124000124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产品运作方式</w:t>
            </w:r>
          </w:p>
        </w:tc>
        <w:tc>
          <w:tcPr>
            <w:tcW w:w="3847" w:type="dxa"/>
          </w:tcPr>
          <w:p>
            <w:pPr>
              <w:pStyle w:val="25"/>
              <w:spacing w:before="52" w:line="201" w:lineRule="auto"/>
              <w:jc w:val="center"/>
              <w:rPr>
                <w:rFonts w:hint="eastAsia" w:ascii="楷体" w:hAnsi="楷体" w:eastAsia="楷体" w:cs="楷体"/>
                <w:sz w:val="24"/>
                <w:szCs w:val="24"/>
                <w:highlight w:val="yellow"/>
              </w:rPr>
            </w:pPr>
            <w:r>
              <w:rPr>
                <w:rFonts w:hint="eastAsia" w:ascii="楷体" w:hAnsi="楷体" w:eastAsia="楷体" w:cs="楷体"/>
                <w:spacing w:val="-2"/>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报告期末产品存续份额（份）</w:t>
            </w:r>
          </w:p>
        </w:tc>
        <w:tc>
          <w:tcPr>
            <w:tcW w:w="3847" w:type="dxa"/>
          </w:tcPr>
          <w:p>
            <w:pPr>
              <w:pStyle w:val="25"/>
              <w:spacing w:before="87" w:line="174"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57,051,402.00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产品资产净值（元）</w:t>
            </w:r>
          </w:p>
        </w:tc>
        <w:tc>
          <w:tcPr>
            <w:tcW w:w="3847" w:type="dxa"/>
          </w:tcPr>
          <w:p>
            <w:pPr>
              <w:pStyle w:val="25"/>
              <w:spacing w:before="78" w:line="182"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58,256,197.83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风险收益特征</w:t>
            </w:r>
          </w:p>
        </w:tc>
        <w:tc>
          <w:tcPr>
            <w:tcW w:w="3847" w:type="dxa"/>
          </w:tcPr>
          <w:p>
            <w:pPr>
              <w:pStyle w:val="25"/>
              <w:spacing w:before="54" w:line="200" w:lineRule="auto"/>
              <w:jc w:val="center"/>
              <w:rPr>
                <w:rFonts w:hint="eastAsia" w:ascii="楷体" w:hAnsi="楷体" w:eastAsia="楷体" w:cs="楷体"/>
                <w:sz w:val="24"/>
                <w:szCs w:val="24"/>
                <w:highlight w:val="yellow"/>
              </w:rPr>
            </w:pPr>
            <w:r>
              <w:rPr>
                <w:rFonts w:hint="eastAsia" w:ascii="楷体" w:hAnsi="楷体" w:eastAsia="楷体" w:cs="楷体"/>
                <w:spacing w:val="-8"/>
                <w:sz w:val="24"/>
                <w:szCs w:val="24"/>
              </w:rPr>
              <w:t>中低风险型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收益类型</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9"/>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管理人</w:t>
            </w:r>
          </w:p>
        </w:tc>
        <w:tc>
          <w:tcPr>
            <w:tcW w:w="3847" w:type="dxa"/>
          </w:tcPr>
          <w:p>
            <w:pPr>
              <w:pStyle w:val="25"/>
              <w:spacing w:before="55" w:line="200"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托管人</w:t>
            </w:r>
          </w:p>
        </w:tc>
        <w:tc>
          <w:tcPr>
            <w:tcW w:w="3847" w:type="dxa"/>
          </w:tcPr>
          <w:p>
            <w:pPr>
              <w:pStyle w:val="25"/>
              <w:spacing w:before="56" w:line="199" w:lineRule="auto"/>
              <w:jc w:val="center"/>
              <w:rPr>
                <w:rFonts w:hint="eastAsia" w:ascii="楷体" w:hAnsi="楷体" w:eastAsia="楷体" w:cs="楷体"/>
                <w:sz w:val="24"/>
                <w:szCs w:val="24"/>
                <w:highlight w:val="yellow"/>
              </w:rPr>
            </w:pPr>
            <w:r>
              <w:rPr>
                <w:rFonts w:hint="eastAsia" w:ascii="楷体" w:hAnsi="楷体" w:eastAsia="楷体" w:cs="楷体"/>
                <w:spacing w:val="-3"/>
                <w:sz w:val="24"/>
                <w:szCs w:val="24"/>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w:t>
            </w:r>
          </w:p>
        </w:tc>
        <w:tc>
          <w:tcPr>
            <w:tcW w:w="3847" w:type="dxa"/>
          </w:tcPr>
          <w:p>
            <w:pPr>
              <w:pStyle w:val="25"/>
              <w:spacing w:before="90" w:line="173" w:lineRule="auto"/>
              <w:jc w:val="center"/>
              <w:rPr>
                <w:rFonts w:hint="eastAsia" w:ascii="楷体" w:hAnsi="楷体" w:eastAsia="楷体" w:cs="楷体"/>
                <w:sz w:val="24"/>
                <w:szCs w:val="24"/>
                <w:highlight w:val="yellow"/>
              </w:rPr>
            </w:pPr>
            <w:r>
              <w:rPr>
                <w:rFonts w:hint="eastAsia" w:ascii="楷体" w:hAnsi="楷体" w:eastAsia="楷体" w:cs="楷体"/>
                <w:spacing w:val="-1"/>
                <w:sz w:val="24"/>
                <w:szCs w:val="24"/>
              </w:rPr>
              <w:t>31000188000617270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托管账户开户行</w:t>
            </w:r>
          </w:p>
        </w:tc>
        <w:tc>
          <w:tcPr>
            <w:tcW w:w="3847" w:type="dxa"/>
          </w:tcPr>
          <w:p>
            <w:pPr>
              <w:pStyle w:val="25"/>
              <w:spacing w:before="56" w:line="199" w:lineRule="auto"/>
              <w:jc w:val="center"/>
              <w:rPr>
                <w:rFonts w:hint="eastAsia" w:ascii="楷体" w:hAnsi="楷体" w:eastAsia="楷体" w:cs="楷体"/>
                <w:sz w:val="24"/>
                <w:szCs w:val="24"/>
              </w:rPr>
            </w:pPr>
            <w:r>
              <w:rPr>
                <w:rFonts w:hint="eastAsia" w:ascii="楷体" w:hAnsi="楷体" w:eastAsia="楷体" w:cs="楷体"/>
                <w:spacing w:val="-2"/>
                <w:sz w:val="24"/>
                <w:szCs w:val="24"/>
              </w:rPr>
              <w:t>江苏银行股份有限公司营业部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产品资产总值（元）</w:t>
            </w:r>
          </w:p>
        </w:tc>
        <w:tc>
          <w:tcPr>
            <w:tcW w:w="3847" w:type="dxa"/>
          </w:tcPr>
          <w:p>
            <w:pPr>
              <w:pStyle w:val="25"/>
              <w:spacing w:before="81" w:line="180" w:lineRule="auto"/>
              <w:jc w:val="center"/>
              <w:rPr>
                <w:rFonts w:hint="eastAsia" w:ascii="楷体" w:hAnsi="楷体" w:eastAsia="楷体" w:cs="楷体"/>
                <w:sz w:val="24"/>
                <w:szCs w:val="24"/>
              </w:rPr>
            </w:pPr>
            <w:r>
              <w:rPr>
                <w:rFonts w:hint="eastAsia" w:ascii="楷体" w:hAnsi="楷体" w:eastAsia="楷体" w:cs="楷体"/>
                <w:spacing w:val="-1"/>
                <w:sz w:val="24"/>
                <w:szCs w:val="24"/>
              </w:rPr>
              <w:t>58,290,884.88</w:t>
            </w:r>
            <w:r>
              <w:rPr>
                <w:rFonts w:hint="eastAsia" w:ascii="楷体" w:hAnsi="楷体" w:eastAsia="楷体" w:cs="楷体"/>
                <w:spacing w:val="-29"/>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4" w:type="dxa"/>
            <w:vAlign w:val="center"/>
          </w:tcPr>
          <w:p>
            <w:pPr>
              <w:spacing w:line="320" w:lineRule="exact"/>
              <w:rPr>
                <w:rFonts w:hint="eastAsia" w:ascii="楷体" w:hAnsi="楷体" w:eastAsia="楷体" w:cs="楷体"/>
                <w:sz w:val="24"/>
                <w:szCs w:val="24"/>
              </w:rPr>
            </w:pPr>
            <w:r>
              <w:rPr>
                <w:rFonts w:hint="eastAsia" w:ascii="楷体" w:hAnsi="楷体" w:eastAsia="楷体" w:cs="楷体"/>
                <w:sz w:val="24"/>
                <w:szCs w:val="24"/>
              </w:rPr>
              <w:t>杠杆水平</w:t>
            </w:r>
          </w:p>
        </w:tc>
        <w:tc>
          <w:tcPr>
            <w:tcW w:w="3847" w:type="dxa"/>
          </w:tcPr>
          <w:p>
            <w:pPr>
              <w:pStyle w:val="25"/>
              <w:spacing w:before="56" w:line="202" w:lineRule="auto"/>
              <w:jc w:val="center"/>
              <w:rPr>
                <w:rFonts w:hint="eastAsia" w:ascii="楷体" w:hAnsi="楷体" w:eastAsia="楷体" w:cs="楷体"/>
                <w:sz w:val="24"/>
                <w:szCs w:val="24"/>
              </w:rPr>
            </w:pPr>
            <w:r>
              <w:rPr>
                <w:rFonts w:hint="eastAsia" w:ascii="楷体" w:hAnsi="楷体" w:eastAsia="楷体" w:cs="楷体"/>
                <w:spacing w:val="-4"/>
                <w:sz w:val="24"/>
                <w:szCs w:val="24"/>
              </w:rPr>
              <w:t>100.06%</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二、产品净值与业绩比较基准</w:t>
      </w: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2100"/>
        <w:gridCol w:w="1470"/>
        <w:gridCol w:w="1665"/>
        <w:gridCol w:w="1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spacing w:line="320" w:lineRule="exact"/>
              <w:jc w:val="center"/>
              <w:rPr>
                <w:rFonts w:hint="eastAsia" w:ascii="楷体" w:hAnsi="楷体" w:eastAsia="楷体" w:cs="楷体"/>
              </w:rPr>
            </w:pPr>
            <w:r>
              <w:rPr>
                <w:rFonts w:hint="eastAsia" w:ascii="楷体" w:hAnsi="楷体" w:eastAsia="楷体" w:cs="楷体"/>
                <w:sz w:val="24"/>
                <w:szCs w:val="24"/>
              </w:rPr>
              <w:t>报告日期</w:t>
            </w:r>
          </w:p>
        </w:tc>
        <w:tc>
          <w:tcPr>
            <w:tcW w:w="2100" w:type="dxa"/>
          </w:tcPr>
          <w:p>
            <w:pPr>
              <w:spacing w:line="320" w:lineRule="exact"/>
              <w:jc w:val="center"/>
              <w:rPr>
                <w:rFonts w:hint="eastAsia" w:ascii="楷体" w:hAnsi="楷体" w:eastAsia="楷体" w:cs="楷体"/>
              </w:rPr>
            </w:pPr>
            <w:r>
              <w:rPr>
                <w:rFonts w:hint="eastAsia" w:ascii="楷体" w:hAnsi="楷体" w:eastAsia="楷体" w:cs="楷体"/>
                <w:sz w:val="24"/>
                <w:szCs w:val="24"/>
              </w:rPr>
              <w:t>销售</w:t>
            </w:r>
            <w:r>
              <w:rPr>
                <w:rFonts w:hint="eastAsia" w:ascii="楷体" w:hAnsi="楷体" w:eastAsia="楷体" w:cs="楷体"/>
                <w:sz w:val="24"/>
                <w:szCs w:val="24"/>
                <w:lang w:eastAsia="zh-CN"/>
              </w:rPr>
              <w:t>名</w:t>
            </w:r>
            <w:r>
              <w:rPr>
                <w:rFonts w:hint="eastAsia" w:ascii="楷体" w:hAnsi="楷体" w:eastAsia="楷体" w:cs="楷体"/>
                <w:sz w:val="24"/>
                <w:szCs w:val="24"/>
              </w:rPr>
              <w:t>称</w:t>
            </w:r>
          </w:p>
        </w:tc>
        <w:tc>
          <w:tcPr>
            <w:tcW w:w="1470" w:type="dxa"/>
          </w:tcPr>
          <w:p>
            <w:pPr>
              <w:jc w:val="center"/>
              <w:rPr>
                <w:rFonts w:hint="eastAsia" w:ascii="楷体" w:hAnsi="楷体" w:eastAsia="楷体" w:cs="楷体"/>
              </w:rPr>
            </w:pPr>
            <w:r>
              <w:rPr>
                <w:rFonts w:hint="eastAsia" w:ascii="楷体" w:hAnsi="楷体" w:eastAsia="楷体" w:cs="楷体"/>
                <w:sz w:val="24"/>
                <w:szCs w:val="24"/>
              </w:rPr>
              <w:t>单位净值</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累计单位净值</w:t>
            </w:r>
          </w:p>
        </w:tc>
        <w:tc>
          <w:tcPr>
            <w:tcW w:w="1876" w:type="dxa"/>
          </w:tcPr>
          <w:p>
            <w:pPr>
              <w:jc w:val="center"/>
              <w:rPr>
                <w:rFonts w:hint="eastAsia" w:ascii="楷体" w:hAnsi="楷体" w:eastAsia="楷体" w:cs="楷体"/>
              </w:rPr>
            </w:pPr>
            <w:r>
              <w:rPr>
                <w:rFonts w:hint="eastAsia" w:ascii="楷体" w:hAnsi="楷体" w:eastAsia="楷体" w:cs="楷体"/>
                <w:sz w:val="24"/>
                <w:szCs w:val="24"/>
              </w:rPr>
              <w:t>业绩比较基准（年化）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pPr>
              <w:jc w:val="center"/>
              <w:rPr>
                <w:rFonts w:hint="eastAsia" w:ascii="楷体" w:hAnsi="楷体" w:eastAsia="楷体" w:cs="楷体"/>
                <w:sz w:val="24"/>
                <w:szCs w:val="24"/>
              </w:rPr>
            </w:pPr>
            <w:r>
              <w:rPr>
                <w:rFonts w:hint="eastAsia" w:ascii="楷体" w:hAnsi="楷体" w:eastAsia="楷体" w:cs="楷体"/>
                <w:sz w:val="24"/>
                <w:szCs w:val="24"/>
              </w:rPr>
              <w:t>2025-06-30</w:t>
            </w:r>
          </w:p>
        </w:tc>
        <w:tc>
          <w:tcPr>
            <w:tcW w:w="2100" w:type="dxa"/>
          </w:tcPr>
          <w:p>
            <w:pPr>
              <w:jc w:val="center"/>
              <w:rPr>
                <w:rFonts w:hint="eastAsia" w:ascii="楷体" w:hAnsi="楷体" w:eastAsia="楷体" w:cs="楷体"/>
                <w:sz w:val="24"/>
                <w:szCs w:val="24"/>
              </w:rPr>
            </w:pPr>
            <w:r>
              <w:rPr>
                <w:rFonts w:hint="eastAsia" w:ascii="楷体" w:hAnsi="楷体" w:eastAsia="楷体" w:cs="楷体"/>
                <w:sz w:val="24"/>
                <w:szCs w:val="24"/>
              </w:rPr>
              <w:t>苏银理财恒源封闭债权135期12月A</w:t>
            </w:r>
          </w:p>
        </w:tc>
        <w:tc>
          <w:tcPr>
            <w:tcW w:w="1470" w:type="dxa"/>
          </w:tcPr>
          <w:p>
            <w:pPr>
              <w:jc w:val="center"/>
              <w:rPr>
                <w:rFonts w:hint="eastAsia" w:ascii="楷体" w:hAnsi="楷体" w:eastAsia="楷体" w:cs="楷体"/>
                <w:sz w:val="24"/>
                <w:szCs w:val="24"/>
              </w:rPr>
            </w:pPr>
            <w:r>
              <w:rPr>
                <w:rFonts w:hint="eastAsia" w:ascii="楷体" w:hAnsi="楷体" w:eastAsia="楷体" w:cs="楷体"/>
                <w:sz w:val="24"/>
                <w:szCs w:val="24"/>
              </w:rPr>
              <w:t>1.021392</w:t>
            </w:r>
          </w:p>
        </w:tc>
        <w:tc>
          <w:tcPr>
            <w:tcW w:w="1665" w:type="dxa"/>
          </w:tcPr>
          <w:p>
            <w:pPr>
              <w:jc w:val="center"/>
              <w:rPr>
                <w:rFonts w:hint="eastAsia" w:ascii="楷体" w:hAnsi="楷体" w:eastAsia="楷体" w:cs="楷体"/>
                <w:sz w:val="24"/>
                <w:szCs w:val="24"/>
              </w:rPr>
            </w:pPr>
            <w:r>
              <w:rPr>
                <w:rFonts w:hint="eastAsia" w:ascii="楷体" w:hAnsi="楷体" w:eastAsia="楷体" w:cs="楷体"/>
                <w:sz w:val="24"/>
                <w:szCs w:val="24"/>
              </w:rPr>
              <w:t>1.021392</w:t>
            </w:r>
          </w:p>
        </w:tc>
        <w:tc>
          <w:tcPr>
            <w:tcW w:w="1876" w:type="dxa"/>
          </w:tcPr>
          <w:p>
            <w:pPr>
              <w:jc w:val="center"/>
              <w:rPr>
                <w:rFonts w:hint="eastAsia" w:ascii="楷体" w:hAnsi="楷体" w:eastAsia="楷体" w:cs="楷体"/>
                <w:sz w:val="24"/>
                <w:szCs w:val="24"/>
              </w:rPr>
            </w:pPr>
            <w:r>
              <w:rPr>
                <w:rFonts w:hint="eastAsia" w:ascii="楷体" w:hAnsi="楷体" w:eastAsia="楷体" w:cs="楷体"/>
                <w:sz w:val="24"/>
                <w:szCs w:val="24"/>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苏银理财恒源封闭债权135期12月B</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1.020661</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1.020661</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510" w:type="dxa"/>
          </w:tcPr>
          <w:p>
            <w:pPr>
              <w:pageBreakBefore w:val="0"/>
              <w:jc w:val="center"/>
              <w:textAlignment w:val="auto"/>
            </w:pPr>
            <w:r>
              <w:rPr>
                <w:rFonts w:ascii="楷体" w:hAnsi="楷体" w:eastAsia="楷体" w:cs="楷体"/>
                <w:b w:val="0"/>
                <w:i w:val="0"/>
                <w:strike w:val="0"/>
                <w:color w:val="auto"/>
                <w:position w:val="-1"/>
                <w:sz w:val="24"/>
                <w:u w:val="none"/>
              </w:rPr>
              <w:t>2025-06-30</w:t>
            </w:r>
          </w:p>
        </w:tc>
        <w:tc>
          <w:tcPr>
            <w:tcW w:w="2100" w:type="dxa"/>
          </w:tcPr>
          <w:p>
            <w:pPr>
              <w:pageBreakBefore w:val="0"/>
              <w:jc w:val="center"/>
              <w:textAlignment w:val="auto"/>
            </w:pPr>
            <w:r>
              <w:rPr>
                <w:rFonts w:ascii="楷体" w:hAnsi="楷体" w:eastAsia="楷体" w:cs="楷体"/>
                <w:b w:val="0"/>
                <w:i w:val="0"/>
                <w:strike w:val="0"/>
                <w:color w:val="auto"/>
                <w:position w:val="-1"/>
                <w:sz w:val="24"/>
                <w:u w:val="none"/>
              </w:rPr>
              <w:t>苏银理财恒源封闭债权135期12月C</w:t>
            </w:r>
          </w:p>
        </w:tc>
        <w:tc>
          <w:tcPr>
            <w:tcW w:w="1470" w:type="dxa"/>
          </w:tcPr>
          <w:p>
            <w:pPr>
              <w:pageBreakBefore w:val="0"/>
              <w:jc w:val="center"/>
              <w:textAlignment w:val="auto"/>
            </w:pPr>
            <w:r>
              <w:rPr>
                <w:rFonts w:ascii="楷体" w:hAnsi="楷体" w:eastAsia="楷体" w:cs="楷体"/>
                <w:b w:val="0"/>
                <w:i w:val="0"/>
                <w:strike w:val="0"/>
                <w:color w:val="auto"/>
                <w:position w:val="-1"/>
                <w:sz w:val="24"/>
                <w:u w:val="none"/>
              </w:rPr>
              <w:t>1.0192</w:t>
            </w:r>
          </w:p>
        </w:tc>
        <w:tc>
          <w:tcPr>
            <w:tcW w:w="1665" w:type="dxa"/>
          </w:tcPr>
          <w:p>
            <w:pPr>
              <w:pageBreakBefore w:val="0"/>
              <w:jc w:val="center"/>
              <w:textAlignment w:val="auto"/>
            </w:pPr>
            <w:r>
              <w:rPr>
                <w:rFonts w:ascii="楷体" w:hAnsi="楷体" w:eastAsia="楷体" w:cs="楷体"/>
                <w:b w:val="0"/>
                <w:i w:val="0"/>
                <w:strike w:val="0"/>
                <w:color w:val="auto"/>
                <w:position w:val="-1"/>
                <w:sz w:val="24"/>
                <w:u w:val="none"/>
              </w:rPr>
              <w:t>1.0192</w:t>
            </w:r>
          </w:p>
        </w:tc>
        <w:tc>
          <w:tcPr>
            <w:tcW w:w="1876" w:type="dxa"/>
          </w:tcPr>
          <w:p>
            <w:pPr>
              <w:pageBreakBefore w:val="0"/>
              <w:jc w:val="center"/>
              <w:textAlignment w:val="auto"/>
            </w:pPr>
            <w:r>
              <w:rPr>
                <w:rFonts w:ascii="楷体" w:hAnsi="楷体" w:eastAsia="楷体" w:cs="楷体"/>
                <w:b w:val="0"/>
                <w:i w:val="0"/>
                <w:strike w:val="0"/>
                <w:color w:val="auto"/>
                <w:position w:val="-1"/>
                <w:sz w:val="24"/>
                <w:u w:val="none"/>
              </w:rPr>
              <w:t>2.60%</w:t>
            </w:r>
          </w:p>
        </w:tc>
      </w:tr>
    </w:tbl>
    <w:p>
      <w:pPr>
        <w:rPr>
          <w:rFonts w:hint="eastAsia" w:ascii="楷体" w:hAnsi="楷体" w:eastAsia="楷体" w:cs="楷体"/>
        </w:rPr>
      </w:pPr>
    </w:p>
    <w:p>
      <w:pPr>
        <w:rPr>
          <w:rFonts w:hint="eastAsia" w:ascii="楷体" w:hAnsi="楷体" w:eastAsia="楷体" w:cs="楷体"/>
          <w:sz w:val="21"/>
          <w:szCs w:val="21"/>
        </w:rPr>
      </w:pPr>
      <w:r>
        <w:rPr>
          <w:rFonts w:hint="eastAsia" w:ascii="楷体" w:hAnsi="楷体" w:eastAsia="楷体" w:cs="楷体"/>
          <w:bCs/>
          <w:kern w:val="0"/>
          <w:sz w:val="21"/>
          <w:szCs w:val="21"/>
        </w:rPr>
        <w:t>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三、产品投资组合情况</w:t>
      </w:r>
    </w:p>
    <w:p>
      <w:pPr>
        <w:pStyle w:val="2"/>
        <w:rPr>
          <w:rFonts w:hint="eastAsia" w:ascii="楷体" w:hAnsi="楷体" w:eastAsia="楷体" w:cs="楷体"/>
          <w:b w:val="0"/>
          <w:sz w:val="21"/>
        </w:rPr>
      </w:pPr>
      <w:r>
        <w:rPr>
          <w:rFonts w:hint="eastAsia" w:ascii="楷体" w:hAnsi="楷体" w:eastAsia="楷体" w:cs="楷体"/>
          <w:b w:val="0"/>
          <w:sz w:val="21"/>
        </w:rPr>
        <w:t>（一）期末理财产品持有资产情况</w:t>
      </w:r>
    </w:p>
    <w:tbl>
      <w:tblPr>
        <w:tblStyle w:val="9"/>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2413"/>
        <w:gridCol w:w="261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序号</w:t>
            </w:r>
          </w:p>
        </w:tc>
        <w:tc>
          <w:tcPr>
            <w:tcW w:w="2413"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资产类别</w:t>
            </w:r>
          </w:p>
        </w:tc>
        <w:tc>
          <w:tcPr>
            <w:tcW w:w="2610" w:type="dxa"/>
            <w:vAlign w:val="center"/>
          </w:tcPr>
          <w:p>
            <w:pPr>
              <w:spacing w:line="320" w:lineRule="exact"/>
              <w:rPr>
                <w:rFonts w:hint="eastAsia" w:ascii="楷体" w:hAnsi="楷体" w:eastAsia="楷体" w:cs="楷体"/>
                <w:sz w:val="21"/>
                <w:szCs w:val="21"/>
              </w:rPr>
            </w:pPr>
            <w:r>
              <w:rPr>
                <w:rFonts w:hint="eastAsia" w:ascii="楷体" w:hAnsi="楷体" w:eastAsia="楷体" w:cs="楷体"/>
                <w:sz w:val="21"/>
                <w:szCs w:val="21"/>
              </w:rPr>
              <w:t>直接投资占总资产的比例</w:t>
            </w:r>
          </w:p>
        </w:tc>
        <w:tc>
          <w:tcPr>
            <w:tcW w:w="2550" w:type="dxa"/>
            <w:vAlign w:val="center"/>
          </w:tcPr>
          <w:p>
            <w:pPr>
              <w:spacing w:line="320" w:lineRule="exact"/>
              <w:jc w:val="center"/>
              <w:rPr>
                <w:rFonts w:hint="eastAsia" w:ascii="楷体" w:hAnsi="楷体" w:eastAsia="楷体" w:cs="楷体"/>
                <w:sz w:val="21"/>
                <w:szCs w:val="21"/>
              </w:rPr>
            </w:pPr>
            <w:r>
              <w:rPr>
                <w:rFonts w:hint="eastAsia" w:ascii="楷体" w:hAnsi="楷体" w:eastAsia="楷体" w:cs="楷体"/>
                <w:sz w:val="21"/>
                <w:szCs w:val="21"/>
              </w:rPr>
              <w:t>间接投资占总资产的比例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w:t>
            </w:r>
          </w:p>
        </w:tc>
        <w:tc>
          <w:tcPr>
            <w:tcW w:w="2413"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固定收益类</w:t>
            </w:r>
          </w:p>
        </w:tc>
        <w:tc>
          <w:tcPr>
            <w:tcW w:w="261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1.09%</w:t>
            </w:r>
          </w:p>
        </w:tc>
        <w:tc>
          <w:tcPr>
            <w:tcW w:w="2550" w:type="dxa"/>
            <w:vAlign w:val="center"/>
          </w:tcPr>
          <w:p>
            <w:pPr>
              <w:jc w:val="center"/>
              <w:rPr>
                <w:rFonts w:hint="eastAsia" w:ascii="楷体" w:hAnsi="楷体" w:eastAsia="楷体" w:cs="楷体"/>
                <w:sz w:val="24"/>
                <w:szCs w:val="24"/>
              </w:rPr>
            </w:pPr>
            <w:r>
              <w:rPr>
                <w:rFonts w:hint="eastAsia" w:ascii="楷体" w:hAnsi="楷体" w:eastAsia="楷体" w:cs="楷体"/>
                <w:sz w:val="24"/>
                <w:szCs w:val="24"/>
              </w:rPr>
              <w:t>98.91%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2</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权益类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3</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商品及金融衍生品类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27" w:type="dxa"/>
            <w:vAlign w:val="center"/>
          </w:tcPr>
          <w:p>
            <w:pPr>
              <w:pageBreakBefore w:val="0"/>
              <w:jc w:val="center"/>
              <w:textAlignment w:val="auto"/>
            </w:pPr>
            <w:r>
              <w:rPr>
                <w:rFonts w:ascii="楷体" w:hAnsi="楷体" w:eastAsia="楷体" w:cs="楷体"/>
                <w:b w:val="0"/>
                <w:i w:val="0"/>
                <w:strike w:val="0"/>
                <w:color w:val="auto"/>
                <w:position w:val="-1"/>
                <w:sz w:val="24"/>
                <w:u w:val="none"/>
              </w:rPr>
              <w:t>4</w:t>
            </w:r>
          </w:p>
        </w:tc>
        <w:tc>
          <w:tcPr>
            <w:tcW w:w="2413" w:type="dxa"/>
            <w:vAlign w:val="center"/>
          </w:tcPr>
          <w:p>
            <w:pPr>
              <w:pageBreakBefore w:val="0"/>
              <w:jc w:val="center"/>
              <w:textAlignment w:val="auto"/>
            </w:pPr>
            <w:r>
              <w:rPr>
                <w:rFonts w:ascii="楷体" w:hAnsi="楷体" w:eastAsia="楷体" w:cs="楷体"/>
                <w:b w:val="0"/>
                <w:i w:val="0"/>
                <w:strike w:val="0"/>
                <w:color w:val="auto"/>
                <w:position w:val="-1"/>
                <w:sz w:val="24"/>
                <w:u w:val="none"/>
              </w:rPr>
              <w:t>混合类</w:t>
            </w:r>
          </w:p>
        </w:tc>
        <w:tc>
          <w:tcPr>
            <w:tcW w:w="261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c>
          <w:tcPr>
            <w:tcW w:w="2550" w:type="dxa"/>
            <w:vAlign w:val="center"/>
          </w:tcPr>
          <w:p>
            <w:pPr>
              <w:pageBreakBefore w:val="0"/>
              <w:jc w:val="center"/>
              <w:textAlignment w:val="auto"/>
            </w:pPr>
            <w:r>
              <w:rPr>
                <w:rFonts w:ascii="楷体" w:hAnsi="楷体" w:eastAsia="楷体" w:cs="楷体"/>
                <w:b w:val="0"/>
                <w:i w:val="0"/>
                <w:strike w:val="0"/>
                <w:color w:val="auto"/>
                <w:position w:val="-1"/>
                <w:sz w:val="24"/>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3140" w:type="dxa"/>
            <w:gridSpan w:val="2"/>
            <w:shd w:val="clear" w:color="auto" w:fill="auto"/>
            <w:vAlign w:val="center"/>
          </w:tcPr>
          <w:p>
            <w:pPr>
              <w:tabs>
                <w:tab w:val="center" w:pos="1522"/>
                <w:tab w:val="right" w:pos="2924"/>
              </w:tabs>
              <w:jc w:val="left"/>
              <w:rPr>
                <w:rFonts w:hint="eastAsia" w:ascii="楷体" w:hAnsi="楷体" w:eastAsia="楷体" w:cs="楷体"/>
                <w:sz w:val="24"/>
                <w:szCs w:val="24"/>
                <w:lang w:eastAsia="zh-CN"/>
              </w:rPr>
            </w:pPr>
            <w:r>
              <w:rPr>
                <w:rFonts w:hint="eastAsia" w:ascii="楷体" w:hAnsi="楷体" w:eastAsia="楷体" w:cs="楷体"/>
                <w:sz w:val="24"/>
                <w:szCs w:val="24"/>
                <w:lang w:eastAsia="zh-CN"/>
              </w:rPr>
              <w:tab/>
            </w:r>
            <w:r>
              <w:rPr>
                <w:rFonts w:hint="eastAsia" w:ascii="楷体" w:hAnsi="楷体" w:eastAsia="楷体" w:cs="楷体"/>
                <w:sz w:val="24"/>
                <w:szCs w:val="24"/>
              </w:rPr>
              <w:t>合计</w:t>
            </w:r>
            <w:r>
              <w:rPr>
                <w:rFonts w:hint="eastAsia" w:ascii="楷体" w:hAnsi="楷体" w:eastAsia="楷体" w:cs="楷体"/>
                <w:sz w:val="24"/>
                <w:szCs w:val="24"/>
                <w:lang w:eastAsia="zh-CN"/>
              </w:rPr>
              <w:tab/>
            </w:r>
          </w:p>
        </w:tc>
        <w:tc>
          <w:tcPr>
            <w:tcW w:w="2610" w:type="dxa"/>
            <w:shd w:val="clear" w:color="auto" w:fill="auto"/>
            <w:vAlign w:val="center"/>
          </w:tcPr>
          <w:p>
            <w:pPr>
              <w:jc w:val="center"/>
              <w:rPr>
                <w:rFonts w:hint="eastAsia" w:ascii="楷体" w:hAnsi="楷体" w:eastAsia="楷体" w:cs="楷体"/>
                <w:sz w:val="24"/>
                <w:szCs w:val="24"/>
              </w:rPr>
            </w:pPr>
            <w:r>
              <w:rPr>
                <w:rFonts w:hint="eastAsia" w:ascii="楷体" w:hAnsi="楷体" w:eastAsia="楷体" w:cs="楷体"/>
                <w:sz w:val="24"/>
                <w:szCs w:val="24"/>
              </w:rPr>
              <w:t>1.09%</w:t>
            </w:r>
          </w:p>
        </w:tc>
        <w:tc>
          <w:tcPr>
            <w:tcW w:w="2550" w:type="dxa"/>
            <w:shd w:val="clear" w:color="auto" w:fill="FFFFFF"/>
            <w:vAlign w:val="center"/>
          </w:tcPr>
          <w:p>
            <w:pPr>
              <w:jc w:val="center"/>
              <w:rPr>
                <w:rFonts w:hint="eastAsia" w:ascii="楷体" w:hAnsi="楷体" w:eastAsia="楷体" w:cs="楷体"/>
                <w:sz w:val="24"/>
                <w:szCs w:val="24"/>
              </w:rPr>
            </w:pPr>
            <w:r>
              <w:rPr>
                <w:rFonts w:hint="eastAsia" w:ascii="楷体" w:hAnsi="楷体" w:eastAsia="楷体" w:cs="楷体"/>
                <w:sz w:val="24"/>
                <w:szCs w:val="24"/>
              </w:rPr>
              <w:t>98.91%</w:t>
            </w:r>
          </w:p>
        </w:tc>
      </w:tr>
    </w:tbl>
    <w:p>
      <w:pPr>
        <w:rPr>
          <w:rFonts w:hint="eastAsia" w:ascii="楷体" w:hAnsi="楷体" w:eastAsia="楷体" w:cs="楷体"/>
        </w:rPr>
      </w:pPr>
    </w:p>
    <w:p>
      <w:pPr>
        <w:pStyle w:val="2"/>
        <w:ind w:left="0"/>
        <w:rPr>
          <w:rFonts w:hint="eastAsia" w:ascii="楷体" w:hAnsi="楷体" w:eastAsia="楷体" w:cs="楷体"/>
          <w:b w:val="0"/>
          <w:sz w:val="21"/>
        </w:rPr>
      </w:pPr>
      <w:r>
        <w:rPr>
          <w:rFonts w:hint="eastAsia" w:ascii="楷体" w:hAnsi="楷体" w:eastAsia="楷体" w:cs="楷体"/>
          <w:b w:val="0"/>
          <w:sz w:val="21"/>
        </w:rPr>
        <w:t>（二）期末理财产品持有的前十项资产</w:t>
      </w:r>
    </w:p>
    <w:tbl>
      <w:tblPr>
        <w:tblStyle w:val="9"/>
        <w:tblW w:w="8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434"/>
        <w:gridCol w:w="1275"/>
        <w:gridCol w:w="223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序号</w:t>
            </w:r>
          </w:p>
        </w:tc>
        <w:tc>
          <w:tcPr>
            <w:tcW w:w="2434"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资产名称</w:t>
            </w:r>
          </w:p>
        </w:tc>
        <w:tc>
          <w:tcPr>
            <w:tcW w:w="127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资产类别</w:t>
            </w:r>
          </w:p>
        </w:tc>
        <w:tc>
          <w:tcPr>
            <w:tcW w:w="2235"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持有金额（元）</w:t>
            </w:r>
          </w:p>
        </w:tc>
        <w:tc>
          <w:tcPr>
            <w:tcW w:w="1800" w:type="dxa"/>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jc w:val="center"/>
              <w:rPr>
                <w:rFonts w:hint="eastAsia" w:ascii="楷体" w:hAnsi="楷体" w:eastAsia="楷体" w:cs="楷体"/>
                <w:sz w:val="22"/>
              </w:rPr>
            </w:pPr>
            <w:r>
              <w:rPr>
                <w:rFonts w:hint="eastAsia" w:ascii="楷体" w:hAnsi="楷体" w:eastAsia="楷体" w:cs="楷体"/>
                <w:sz w:val="22"/>
              </w:rPr>
              <w:t>1</w:t>
            </w:r>
          </w:p>
        </w:tc>
        <w:tc>
          <w:tcPr>
            <w:tcW w:w="2434" w:type="dxa"/>
          </w:tcPr>
          <w:p>
            <w:pPr>
              <w:jc w:val="center"/>
              <w:rPr>
                <w:rFonts w:hint="eastAsia" w:ascii="楷体" w:hAnsi="楷体" w:eastAsia="楷体" w:cs="楷体"/>
                <w:sz w:val="22"/>
              </w:rPr>
            </w:pPr>
            <w:r>
              <w:rPr>
                <w:rFonts w:hint="eastAsia" w:ascii="楷体" w:hAnsi="楷体" w:eastAsia="楷体" w:cs="楷体"/>
                <w:sz w:val="22"/>
              </w:rPr>
              <w:t>粤财信托-慧金科技209-1号（OPPO）</w:t>
            </w:r>
          </w:p>
        </w:tc>
        <w:tc>
          <w:tcPr>
            <w:tcW w:w="1275" w:type="dxa"/>
          </w:tcPr>
          <w:p>
            <w:pPr>
              <w:jc w:val="center"/>
              <w:rPr>
                <w:rFonts w:hint="eastAsia" w:ascii="楷体" w:hAnsi="楷体" w:eastAsia="楷体" w:cs="楷体"/>
                <w:sz w:val="22"/>
              </w:rPr>
            </w:pPr>
            <w:r>
              <w:rPr>
                <w:rFonts w:hint="eastAsia" w:ascii="楷体" w:hAnsi="楷体" w:eastAsia="楷体" w:cs="楷体"/>
                <w:sz w:val="22"/>
              </w:rPr>
              <w:t>非标准化债权类资产</w:t>
            </w:r>
          </w:p>
        </w:tc>
        <w:tc>
          <w:tcPr>
            <w:tcW w:w="2235" w:type="dxa"/>
          </w:tcPr>
          <w:p>
            <w:pPr>
              <w:jc w:val="center"/>
              <w:rPr>
                <w:rFonts w:hint="eastAsia" w:ascii="楷体" w:hAnsi="楷体" w:eastAsia="楷体" w:cs="楷体"/>
                <w:sz w:val="22"/>
              </w:rPr>
            </w:pPr>
            <w:r>
              <w:rPr>
                <w:rFonts w:hint="eastAsia" w:ascii="楷体" w:hAnsi="楷体" w:eastAsia="楷体" w:cs="楷体"/>
                <w:sz w:val="22"/>
              </w:rPr>
              <w:t>10,092,284.93</w:t>
            </w:r>
          </w:p>
        </w:tc>
        <w:tc>
          <w:tcPr>
            <w:tcW w:w="1800" w:type="dxa"/>
          </w:tcPr>
          <w:p>
            <w:pPr>
              <w:jc w:val="center"/>
              <w:rPr>
                <w:rFonts w:hint="eastAsia" w:ascii="楷体" w:hAnsi="楷体" w:eastAsia="楷体" w:cs="楷体"/>
                <w:sz w:val="22"/>
              </w:rPr>
            </w:pPr>
            <w:r>
              <w:rPr>
                <w:rFonts w:hint="eastAsia" w:ascii="楷体" w:hAnsi="楷体" w:eastAsia="楷体" w:cs="楷体"/>
                <w:sz w:val="22"/>
              </w:rPr>
              <w:t>16.55%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2</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杭州工商信托-玖盈103号-富阳城投-1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非标准化债权类资产</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10,009,901.65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3</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现金及银行存款</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1,090,891.32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4</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24中信银行CD337</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362,000.48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5</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25建设银行CD006</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361,398.78</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6</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22中国银行二级01</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342,376.82</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7</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24广发Y2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226,271.33</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8</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23常高新MTN002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权益类投资</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217,269.74</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9</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25国开05</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债券</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217,094.65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73" w:type="dxa"/>
          </w:tcPr>
          <w:p>
            <w:pPr>
              <w:pageBreakBefore w:val="0"/>
              <w:jc w:val="center"/>
              <w:textAlignment w:val="auto"/>
            </w:pPr>
            <w:r>
              <w:rPr>
                <w:rFonts w:ascii="楷体" w:hAnsi="楷体" w:eastAsia="楷体" w:cs="楷体"/>
                <w:b w:val="0"/>
                <w:i w:val="0"/>
                <w:strike w:val="0"/>
                <w:color w:val="auto"/>
                <w:position w:val="-1"/>
                <w:sz w:val="22"/>
                <w:u w:val="none"/>
              </w:rPr>
              <w:t>10</w:t>
            </w:r>
          </w:p>
        </w:tc>
        <w:tc>
          <w:tcPr>
            <w:tcW w:w="2434" w:type="dxa"/>
          </w:tcPr>
          <w:p>
            <w:pPr>
              <w:pageBreakBefore w:val="0"/>
              <w:jc w:val="center"/>
              <w:textAlignment w:val="auto"/>
            </w:pPr>
            <w:r>
              <w:rPr>
                <w:rFonts w:ascii="楷体" w:hAnsi="楷体" w:eastAsia="楷体" w:cs="楷体"/>
                <w:b w:val="0"/>
                <w:i w:val="0"/>
                <w:strike w:val="0"/>
                <w:color w:val="auto"/>
                <w:position w:val="-1"/>
                <w:sz w:val="22"/>
                <w:u w:val="none"/>
              </w:rPr>
              <w:t>25农业银行CD112</w:t>
            </w:r>
          </w:p>
        </w:tc>
        <w:tc>
          <w:tcPr>
            <w:tcW w:w="1275" w:type="dxa"/>
          </w:tcPr>
          <w:p>
            <w:pPr>
              <w:pageBreakBefore w:val="0"/>
              <w:jc w:val="center"/>
              <w:textAlignment w:val="auto"/>
            </w:pPr>
            <w:r>
              <w:rPr>
                <w:rFonts w:ascii="楷体" w:hAnsi="楷体" w:eastAsia="楷体" w:cs="楷体"/>
                <w:b w:val="0"/>
                <w:i w:val="0"/>
                <w:strike w:val="0"/>
                <w:color w:val="auto"/>
                <w:position w:val="-1"/>
                <w:sz w:val="22"/>
                <w:u w:val="none"/>
              </w:rPr>
              <w:t>同业存单</w:t>
            </w:r>
          </w:p>
        </w:tc>
        <w:tc>
          <w:tcPr>
            <w:tcW w:w="2235" w:type="dxa"/>
          </w:tcPr>
          <w:p>
            <w:pPr>
              <w:pageBreakBefore w:val="0"/>
              <w:jc w:val="center"/>
              <w:textAlignment w:val="auto"/>
            </w:pPr>
            <w:r>
              <w:rPr>
                <w:rFonts w:ascii="楷体" w:hAnsi="楷体" w:eastAsia="楷体" w:cs="楷体"/>
                <w:b w:val="0"/>
                <w:i w:val="0"/>
                <w:strike w:val="0"/>
                <w:color w:val="auto"/>
                <w:position w:val="-1"/>
                <w:sz w:val="22"/>
                <w:u w:val="none"/>
              </w:rPr>
              <w:t>216,093.35</w:t>
            </w:r>
          </w:p>
        </w:tc>
        <w:tc>
          <w:tcPr>
            <w:tcW w:w="1800" w:type="dxa"/>
          </w:tcPr>
          <w:p>
            <w:pPr>
              <w:pageBreakBefore w:val="0"/>
              <w:jc w:val="center"/>
              <w:textAlignment w:val="auto"/>
            </w:pPr>
            <w:r>
              <w:rPr>
                <w:rFonts w:ascii="楷体" w:hAnsi="楷体" w:eastAsia="楷体" w:cs="楷体"/>
                <w:b w:val="0"/>
                <w:i w:val="0"/>
                <w:strike w:val="0"/>
                <w:color w:val="auto"/>
                <w:position w:val="-1"/>
                <w:sz w:val="22"/>
                <w:u w:val="none"/>
              </w:rPr>
              <w:t>0.35%</w:t>
            </w:r>
          </w:p>
        </w:tc>
      </w:tr>
    </w:tbl>
    <w:p>
      <w:pPr>
        <w:pStyle w:val="14"/>
        <w:rPr>
          <w:rFonts w:hint="eastAsia" w:ascii="楷体" w:hAnsi="楷体" w:eastAsia="楷体" w:cs="楷体"/>
        </w:rPr>
      </w:pPr>
    </w:p>
    <w:p>
      <w:pPr>
        <w:pStyle w:val="2"/>
        <w:numPr>
          <w:ilvl w:val="0"/>
          <w:numId w:val="1"/>
        </w:numPr>
        <w:rPr>
          <w:rFonts w:hint="eastAsia" w:ascii="楷体" w:hAnsi="楷体" w:eastAsia="楷体" w:cs="楷体"/>
          <w:b w:val="0"/>
          <w:sz w:val="21"/>
        </w:rPr>
      </w:pPr>
      <w:r>
        <w:rPr>
          <w:rFonts w:hint="eastAsia" w:ascii="楷体" w:hAnsi="楷体" w:eastAsia="楷体" w:cs="楷体"/>
          <w:b w:val="0"/>
          <w:sz w:val="21"/>
        </w:rPr>
        <w:t>非标资产情况</w:t>
      </w:r>
    </w:p>
    <w:p>
      <w:pPr>
        <w:ind w:firstLine="220" w:firstLineChars="100"/>
        <w:rPr>
          <w:rFonts w:hint="eastAsia" w:ascii="楷体" w:hAnsi="楷体" w:eastAsia="楷体" w:cs="楷体"/>
        </w:rPr>
      </w:pPr>
      <w:r>
        <w:rPr>
          <w:rFonts w:hint="eastAsia" w:ascii="楷体" w:hAnsi="楷体" w:eastAsia="楷体" w:cs="楷体"/>
          <w:sz w:val="22"/>
          <w:szCs w:val="24"/>
        </w:rPr>
        <w:t>1）非标资产投资情况</w:t>
      </w:r>
    </w:p>
    <w:tbl>
      <w:tblPr>
        <w:tblStyle w:val="9"/>
        <w:tblW w:w="8811" w:type="dxa"/>
        <w:tblInd w:w="0" w:type="dxa"/>
        <w:tblLayout w:type="fixed"/>
        <w:tblCellMar>
          <w:top w:w="0" w:type="dxa"/>
          <w:left w:w="108" w:type="dxa"/>
          <w:bottom w:w="0" w:type="dxa"/>
          <w:right w:w="108" w:type="dxa"/>
        </w:tblCellMar>
      </w:tblPr>
      <w:tblGrid>
        <w:gridCol w:w="1401"/>
        <w:gridCol w:w="1410"/>
        <w:gridCol w:w="1245"/>
        <w:gridCol w:w="1485"/>
        <w:gridCol w:w="1335"/>
        <w:gridCol w:w="1080"/>
        <w:gridCol w:w="855"/>
      </w:tblGrid>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41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项目名称</w:t>
            </w:r>
          </w:p>
        </w:tc>
        <w:tc>
          <w:tcPr>
            <w:tcW w:w="124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剩余融资期限（天）</w:t>
            </w:r>
          </w:p>
        </w:tc>
        <w:tc>
          <w:tcPr>
            <w:tcW w:w="148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资产面值</w:t>
            </w:r>
          </w:p>
        </w:tc>
        <w:tc>
          <w:tcPr>
            <w:tcW w:w="133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到期分配方式</w:t>
            </w:r>
          </w:p>
        </w:tc>
        <w:tc>
          <w:tcPr>
            <w:tcW w:w="1080"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交易结构</w:t>
            </w:r>
          </w:p>
        </w:tc>
        <w:tc>
          <w:tcPr>
            <w:tcW w:w="855" w:type="dxa"/>
            <w:tcBorders>
              <w:top w:val="single" w:color="auto" w:sz="4" w:space="0"/>
              <w:left w:val="nil"/>
              <w:bottom w:val="single" w:color="auto" w:sz="4" w:space="0"/>
              <w:right w:val="single" w:color="auto" w:sz="4" w:space="0"/>
            </w:tcBorders>
            <w:vAlign w:val="center"/>
          </w:tcPr>
          <w:p>
            <w:pPr>
              <w:spacing w:line="320" w:lineRule="exact"/>
              <w:jc w:val="center"/>
              <w:rPr>
                <w:rFonts w:hint="eastAsia" w:ascii="楷体" w:hAnsi="楷体" w:eastAsia="楷体" w:cs="楷体"/>
                <w:sz w:val="24"/>
                <w:szCs w:val="24"/>
              </w:rPr>
            </w:pPr>
            <w:r>
              <w:rPr>
                <w:rFonts w:hint="eastAsia" w:ascii="楷体" w:hAnsi="楷体" w:eastAsia="楷体" w:cs="楷体"/>
                <w:sz w:val="24"/>
                <w:szCs w:val="24"/>
              </w:rPr>
              <w:t>风险状况</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欢太导流、信托自主审核通过的借款人</w:t>
            </w:r>
          </w:p>
        </w:tc>
        <w:tc>
          <w:tcPr>
            <w:tcW w:w="141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粤财信托-慧金科技209-1号（OPPO）</w:t>
            </w:r>
          </w:p>
        </w:tc>
        <w:tc>
          <w:tcPr>
            <w:tcW w:w="124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113</w:t>
            </w:r>
          </w:p>
        </w:tc>
        <w:tc>
          <w:tcPr>
            <w:tcW w:w="148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highlight w:val="yellow"/>
              </w:rPr>
            </w:pPr>
            <w:r>
              <w:rPr>
                <w:rFonts w:hint="eastAsia" w:ascii="楷体" w:hAnsi="楷体" w:eastAsia="楷体" w:cs="楷体"/>
                <w:sz w:val="22"/>
              </w:rPr>
              <w:t>10,000,000.00</w:t>
            </w:r>
          </w:p>
        </w:tc>
        <w:tc>
          <w:tcPr>
            <w:tcW w:w="133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循环期按季付息不还本，摊还期按月过手摊还本息;</w:t>
            </w:r>
          </w:p>
        </w:tc>
        <w:tc>
          <w:tcPr>
            <w:tcW w:w="1080"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投资信托计划产品</w:t>
            </w:r>
          </w:p>
        </w:tc>
        <w:tc>
          <w:tcPr>
            <w:tcW w:w="855" w:type="dxa"/>
            <w:tcBorders>
              <w:top w:val="single" w:color="auto" w:sz="4" w:space="0"/>
              <w:left w:val="nil"/>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正常</w:t>
            </w:r>
          </w:p>
        </w:tc>
      </w:tr>
      <w:tr>
        <w:tblPrEx>
          <w:tblCellMar>
            <w:top w:w="0" w:type="dxa"/>
            <w:left w:w="108" w:type="dxa"/>
            <w:bottom w:w="0" w:type="dxa"/>
            <w:right w:w="108" w:type="dxa"/>
          </w:tblCellMar>
        </w:tblPrEx>
        <w:trPr>
          <w:trHeight w:val="270" w:hRule="atLeast"/>
        </w:trPr>
        <w:tc>
          <w:tcPr>
            <w:tcW w:w="1401"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杭州富阳城市建设投资集团有限公司</w:t>
            </w:r>
          </w:p>
        </w:tc>
        <w:tc>
          <w:tcPr>
            <w:tcW w:w="141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杭州工商信托-玖盈103号-富阳城投-1</w:t>
            </w:r>
          </w:p>
        </w:tc>
        <w:tc>
          <w:tcPr>
            <w:tcW w:w="124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126</w:t>
            </w:r>
          </w:p>
        </w:tc>
        <w:tc>
          <w:tcPr>
            <w:tcW w:w="148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10,000,000.00</w:t>
            </w:r>
          </w:p>
        </w:tc>
        <w:tc>
          <w:tcPr>
            <w:tcW w:w="133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按季付息到期一次还本</w:t>
            </w:r>
          </w:p>
        </w:tc>
        <w:tc>
          <w:tcPr>
            <w:tcW w:w="1080"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投资信托计划产品</w:t>
            </w:r>
          </w:p>
        </w:tc>
        <w:tc>
          <w:tcPr>
            <w:tcW w:w="855" w:type="dxa"/>
            <w:tcBorders>
              <w:top w:val="single" w:color="auto" w:sz="4" w:space="0"/>
              <w:left w:val="nil"/>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正常</w:t>
            </w:r>
          </w:p>
        </w:tc>
      </w:tr>
    </w:tbl>
    <w:p>
      <w:pPr>
        <w:pStyle w:val="14"/>
        <w:rPr>
          <w:rFonts w:hint="eastAsia" w:ascii="楷体" w:hAnsi="楷体" w:eastAsia="楷体" w:cs="楷体"/>
        </w:rPr>
      </w:pPr>
    </w:p>
    <w:p>
      <w:pPr>
        <w:spacing w:line="320" w:lineRule="exact"/>
        <w:ind w:firstLine="220" w:firstLineChars="100"/>
        <w:rPr>
          <w:rFonts w:hint="eastAsia" w:ascii="楷体" w:hAnsi="楷体" w:eastAsia="楷体" w:cs="楷体"/>
        </w:rPr>
      </w:pPr>
      <w:r>
        <w:rPr>
          <w:rFonts w:hint="eastAsia" w:ascii="楷体" w:hAnsi="楷体" w:eastAsia="楷体" w:cs="楷体"/>
          <w:sz w:val="22"/>
          <w:szCs w:val="24"/>
        </w:rPr>
        <w:t>2）融资客户情况</w:t>
      </w:r>
    </w:p>
    <w:tbl>
      <w:tblPr>
        <w:tblStyle w:val="10"/>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399"/>
        <w:gridCol w:w="1263"/>
        <w:gridCol w:w="4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2"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融资客户</w:t>
            </w:r>
          </w:p>
        </w:tc>
        <w:tc>
          <w:tcPr>
            <w:tcW w:w="1399"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成立日期</w:t>
            </w:r>
          </w:p>
        </w:tc>
        <w:tc>
          <w:tcPr>
            <w:tcW w:w="1263"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注册资本（元）</w:t>
            </w:r>
          </w:p>
        </w:tc>
        <w:tc>
          <w:tcPr>
            <w:tcW w:w="4746" w:type="dxa"/>
            <w:tcBorders>
              <w:top w:val="single" w:color="auto" w:sz="4" w:space="0"/>
              <w:left w:val="single" w:color="auto" w:sz="4" w:space="0"/>
              <w:bottom w:val="single" w:color="auto" w:sz="4" w:space="0"/>
              <w:right w:val="single" w:color="auto" w:sz="4" w:space="0"/>
            </w:tcBorders>
          </w:tcPr>
          <w:p>
            <w:pPr>
              <w:pStyle w:val="14"/>
              <w:jc w:val="center"/>
              <w:rPr>
                <w:rFonts w:hint="eastAsia" w:ascii="楷体" w:hAnsi="楷体" w:eastAsia="楷体" w:cs="楷体"/>
                <w:sz w:val="24"/>
                <w:szCs w:val="24"/>
              </w:rPr>
            </w:pPr>
            <w:r>
              <w:rPr>
                <w:rFonts w:hint="eastAsia" w:ascii="楷体" w:hAnsi="楷体" w:eastAsia="楷体" w:cs="楷体"/>
                <w:sz w:val="24"/>
                <w:szCs w:val="24"/>
              </w:rPr>
              <w:t>经营范围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2"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欢太导流、信托自主审核通过的借款人</w:t>
            </w:r>
          </w:p>
        </w:tc>
        <w:tc>
          <w:tcPr>
            <w:tcW w:w="1399"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1263"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c>
          <w:tcPr>
            <w:tcW w:w="4746" w:type="dxa"/>
            <w:tcBorders>
              <w:top w:val="single" w:color="auto" w:sz="4" w:space="0"/>
              <w:left w:val="single" w:color="auto" w:sz="4" w:space="0"/>
              <w:bottom w:val="single" w:color="auto" w:sz="4" w:space="0"/>
              <w:right w:val="single" w:color="auto" w:sz="4" w:space="0"/>
            </w:tcBorders>
          </w:tcPr>
          <w:p>
            <w:pPr>
              <w:jc w:val="center"/>
              <w:rPr>
                <w:rFonts w:hint="eastAsia" w:ascii="楷体" w:hAnsi="楷体" w:eastAsia="楷体" w:cs="楷体"/>
                <w:sz w:val="22"/>
                <w:szCs w:val="24"/>
              </w:rPr>
            </w:pPr>
            <w:r>
              <w:rPr>
                <w:rFonts w:hint="eastAsia" w:ascii="楷体" w:hAnsi="楷体" w:eastAsia="楷体" w:cs="楷体"/>
                <w:sz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412"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杭州富阳城市建设投资集团有限公司</w:t>
            </w:r>
          </w:p>
        </w:tc>
        <w:tc>
          <w:tcPr>
            <w:tcW w:w="1399"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hint="eastAsia" w:ascii="楷体" w:hAnsi="楷体" w:eastAsia="楷体" w:cs="楷体"/>
                <w:b w:val="0"/>
                <w:i w:val="0"/>
                <w:strike w:val="0"/>
                <w:color w:val="auto"/>
                <w:position w:val="-1"/>
                <w:sz w:val="22"/>
                <w:u w:val="none"/>
              </w:rPr>
              <w:t>2000-10-10</w:t>
            </w:r>
            <w:bookmarkStart w:id="1" w:name="_GoBack"/>
            <w:bookmarkEnd w:id="1"/>
          </w:p>
        </w:tc>
        <w:tc>
          <w:tcPr>
            <w:tcW w:w="1263"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1,000,000,000.00</w:t>
            </w:r>
          </w:p>
        </w:tc>
        <w:tc>
          <w:tcPr>
            <w:tcW w:w="4746" w:type="dxa"/>
            <w:tcBorders>
              <w:top w:val="single" w:color="auto" w:sz="4" w:space="0"/>
              <w:left w:val="single" w:color="auto" w:sz="4" w:space="0"/>
              <w:bottom w:val="single" w:color="auto" w:sz="4" w:space="0"/>
              <w:right w:val="single" w:color="auto" w:sz="4" w:space="0"/>
            </w:tcBorders>
          </w:tcPr>
          <w:p>
            <w:pPr>
              <w:pageBreakBefore w:val="0"/>
              <w:jc w:val="center"/>
              <w:textAlignment w:val="auto"/>
            </w:pPr>
            <w:r>
              <w:rPr>
                <w:rFonts w:ascii="楷体" w:hAnsi="楷体" w:eastAsia="楷体" w:cs="楷体"/>
                <w:b w:val="0"/>
                <w:i w:val="0"/>
                <w:strike w:val="0"/>
                <w:color w:val="auto"/>
                <w:position w:val="-1"/>
                <w:sz w:val="22"/>
                <w:u w:val="none"/>
              </w:rPr>
              <w:t>城市基础设施建设、投资;公共设施建设;实业投资;自有资产管理;工程项目代建;房地产开发;土地地面平整服务。(依法须经批准的项目,经相关部门批准后方可开展经营活动)</w:t>
            </w:r>
          </w:p>
        </w:tc>
      </w:tr>
    </w:tbl>
    <w:p>
      <w:pPr>
        <w:pStyle w:val="14"/>
        <w:rPr>
          <w:rFonts w:hint="eastAsia" w:ascii="楷体" w:hAnsi="楷体" w:eastAsia="楷体" w:cs="楷体"/>
        </w:rPr>
      </w:pPr>
    </w:p>
    <w:p>
      <w:pPr>
        <w:pStyle w:val="2"/>
        <w:rPr>
          <w:rFonts w:hint="eastAsia" w:ascii="楷体" w:hAnsi="楷体" w:eastAsia="楷体" w:cs="楷体"/>
          <w:b w:val="0"/>
          <w:sz w:val="21"/>
        </w:rPr>
      </w:pPr>
      <w:r>
        <w:rPr>
          <w:rFonts w:hint="eastAsia" w:ascii="楷体" w:hAnsi="楷体" w:eastAsia="楷体" w:cs="楷体"/>
          <w:b w:val="0"/>
          <w:sz w:val="21"/>
        </w:rPr>
        <w:t>（四）关联交易情况</w:t>
      </w:r>
    </w:p>
    <w:p>
      <w:pPr>
        <w:spacing w:line="320" w:lineRule="exact"/>
        <w:ind w:firstLine="220" w:firstLineChars="100"/>
        <w:rPr>
          <w:rFonts w:hint="eastAsia" w:ascii="楷体" w:hAnsi="楷体" w:eastAsia="楷体" w:cs="楷体"/>
          <w:sz w:val="22"/>
          <w:szCs w:val="24"/>
        </w:rPr>
      </w:pPr>
      <w:r>
        <w:rPr>
          <w:rFonts w:hint="eastAsia" w:ascii="楷体" w:hAnsi="楷体" w:eastAsia="楷体" w:cs="楷体"/>
          <w:sz w:val="22"/>
          <w:szCs w:val="24"/>
        </w:rPr>
        <w:t>1）报告期内投资于关联方发行的证券或其他金融工具</w:t>
      </w:r>
    </w:p>
    <w:tbl>
      <w:tblPr>
        <w:tblStyle w:val="9"/>
        <w:tblW w:w="8621" w:type="dxa"/>
        <w:tblInd w:w="0" w:type="dxa"/>
        <w:tblLayout w:type="fixed"/>
        <w:tblCellMar>
          <w:top w:w="0" w:type="dxa"/>
          <w:left w:w="108" w:type="dxa"/>
          <w:bottom w:w="0" w:type="dxa"/>
          <w:right w:w="108" w:type="dxa"/>
        </w:tblCellMar>
      </w:tblPr>
      <w:tblGrid>
        <w:gridCol w:w="1465"/>
        <w:gridCol w:w="1440"/>
        <w:gridCol w:w="1425"/>
        <w:gridCol w:w="2115"/>
        <w:gridCol w:w="2176"/>
      </w:tblGrid>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11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1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ind w:firstLine="220" w:firstLineChars="100"/>
        <w:rPr>
          <w:rFonts w:hint="eastAsia" w:ascii="楷体" w:hAnsi="楷体" w:eastAsia="楷体" w:cs="楷体"/>
        </w:rPr>
      </w:pPr>
      <w:r>
        <w:rPr>
          <w:rFonts w:hint="eastAsia" w:ascii="楷体" w:hAnsi="楷体" w:eastAsia="楷体" w:cs="楷体"/>
          <w:sz w:val="22"/>
          <w:szCs w:val="24"/>
        </w:rPr>
        <w:t>2）报告期内投资于关联方承销的证券或其他金融工具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425"/>
        <w:gridCol w:w="2085"/>
        <w:gridCol w:w="2191"/>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证券代码</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证券简称</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报告期投资的证券数量（张）</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08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9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报告期内投资于关联方管理的资管产品或其他金融工具</w:t>
      </w:r>
    </w:p>
    <w:tbl>
      <w:tblPr>
        <w:tblStyle w:val="9"/>
        <w:tblW w:w="8621" w:type="dxa"/>
        <w:tblInd w:w="0" w:type="dxa"/>
        <w:tblLayout w:type="fixed"/>
        <w:tblCellMar>
          <w:top w:w="0" w:type="dxa"/>
          <w:left w:w="108" w:type="dxa"/>
          <w:bottom w:w="0" w:type="dxa"/>
          <w:right w:w="108" w:type="dxa"/>
        </w:tblCellMar>
      </w:tblPr>
      <w:tblGrid>
        <w:gridCol w:w="1480"/>
        <w:gridCol w:w="1440"/>
        <w:gridCol w:w="1395"/>
        <w:gridCol w:w="2130"/>
        <w:gridCol w:w="2176"/>
      </w:tblGrid>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金融工具代码</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金融工具名称</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报告期投资的证券数量</w:t>
            </w: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报告期投资的证券金额（元）</w:t>
            </w:r>
          </w:p>
        </w:tc>
      </w:tr>
      <w:tr>
        <w:tblPrEx>
          <w:tblCellMar>
            <w:top w:w="0" w:type="dxa"/>
            <w:left w:w="108" w:type="dxa"/>
            <w:bottom w:w="0" w:type="dxa"/>
            <w:right w:w="108" w:type="dxa"/>
          </w:tblCellMar>
        </w:tblPrEx>
        <w:trPr>
          <w:trHeight w:val="283" w:hRule="atLeast"/>
        </w:trPr>
        <w:tc>
          <w:tcPr>
            <w:tcW w:w="148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4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1395"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217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rPr>
          <w:rFonts w:hint="eastAsia" w:ascii="楷体" w:hAnsi="楷体" w:eastAsia="楷体" w:cs="楷体"/>
          <w:sz w:val="22"/>
          <w:szCs w:val="24"/>
        </w:rPr>
      </w:pPr>
    </w:p>
    <w:p>
      <w:pPr>
        <w:numPr>
          <w:ilvl w:val="0"/>
          <w:numId w:val="2"/>
        </w:numPr>
        <w:ind w:firstLine="220" w:firstLineChars="100"/>
        <w:rPr>
          <w:rFonts w:hint="eastAsia" w:ascii="楷体" w:hAnsi="楷体" w:eastAsia="楷体" w:cs="楷体"/>
          <w:sz w:val="22"/>
          <w:szCs w:val="24"/>
        </w:rPr>
      </w:pPr>
      <w:r>
        <w:rPr>
          <w:rFonts w:hint="eastAsia" w:ascii="楷体" w:hAnsi="楷体" w:eastAsia="楷体" w:cs="楷体"/>
          <w:sz w:val="22"/>
          <w:szCs w:val="24"/>
        </w:rPr>
        <w:t>报告期内的其他关联交易</w:t>
      </w:r>
    </w:p>
    <w:tbl>
      <w:tblPr>
        <w:tblStyle w:val="9"/>
        <w:tblW w:w="8621" w:type="dxa"/>
        <w:tblInd w:w="0" w:type="dxa"/>
        <w:tblLayout w:type="fixed"/>
        <w:tblCellMar>
          <w:top w:w="0" w:type="dxa"/>
          <w:left w:w="108" w:type="dxa"/>
          <w:bottom w:w="0" w:type="dxa"/>
          <w:right w:w="108" w:type="dxa"/>
        </w:tblCellMar>
      </w:tblPr>
      <w:tblGrid>
        <w:gridCol w:w="1930"/>
        <w:gridCol w:w="3540"/>
        <w:gridCol w:w="3151"/>
      </w:tblGrid>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交易类型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关联方名称</w:t>
            </w:r>
          </w:p>
        </w:tc>
        <w:tc>
          <w:tcPr>
            <w:tcW w:w="315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关联交易金额（元）</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代销费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7,447.00</w:t>
            </w:r>
          </w:p>
        </w:tc>
      </w:tr>
      <w:tr>
        <w:tblPrEx>
          <w:tblCellMar>
            <w:top w:w="0" w:type="dxa"/>
            <w:left w:w="108" w:type="dxa"/>
            <w:bottom w:w="0" w:type="dxa"/>
            <w:right w:w="108" w:type="dxa"/>
          </w:tblCellMar>
        </w:tblPrEx>
        <w:trPr>
          <w:trHeight w:val="283" w:hRule="atLeast"/>
        </w:trPr>
        <w:tc>
          <w:tcPr>
            <w:tcW w:w="193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托管费</w:t>
            </w:r>
          </w:p>
        </w:tc>
        <w:tc>
          <w:tcPr>
            <w:tcW w:w="3540"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江苏银行股份有限公司</w:t>
            </w:r>
          </w:p>
        </w:tc>
        <w:tc>
          <w:tcPr>
            <w:tcW w:w="3151" w:type="dxa"/>
            <w:tcBorders>
              <w:top w:val="single" w:color="000000" w:sz="4" w:space="0"/>
              <w:left w:val="single" w:color="000000" w:sz="4" w:space="0"/>
              <w:bottom w:val="single" w:color="000000" w:sz="4" w:space="0"/>
              <w:right w:val="single" w:color="000000" w:sz="4" w:space="0"/>
            </w:tcBorders>
            <w:shd w:val="clear" w:color="auto" w:fill="auto"/>
          </w:tcPr>
          <w:p>
            <w:pPr>
              <w:pageBreakBefore w:val="0"/>
              <w:jc w:val="center"/>
              <w:textAlignment w:val="auto"/>
            </w:pPr>
            <w:r>
              <w:rPr>
                <w:rFonts w:ascii="楷体" w:hAnsi="楷体" w:eastAsia="楷体" w:cs="楷体"/>
                <w:b w:val="0"/>
                <w:i w:val="0"/>
                <w:strike w:val="0"/>
                <w:color w:val="auto"/>
                <w:position w:val="-1"/>
                <w:sz w:val="22"/>
                <w:u w:val="none"/>
              </w:rPr>
              <w:t>2,923.13</w:t>
            </w:r>
          </w:p>
        </w:tc>
      </w:tr>
    </w:tbl>
    <w:p>
      <w:pPr>
        <w:pStyle w:val="14"/>
        <w:rPr>
          <w:rFonts w:hint="eastAsia" w:ascii="楷体" w:hAnsi="楷体" w:eastAsia="楷体" w:cs="楷体"/>
          <w:sz w:val="21"/>
          <w:szCs w:val="21"/>
        </w:rPr>
      </w:pPr>
      <w:r>
        <w:rPr>
          <w:rFonts w:hint="eastAsia" w:ascii="楷体" w:hAnsi="楷体" w:eastAsia="楷体" w:cs="楷体"/>
          <w:sz w:val="21"/>
          <w:szCs w:val="21"/>
        </w:rPr>
        <w:t>注：本报告中理财产品托管费、代销费、直销费均基于产品实际支付金额进行统计。</w:t>
      </w:r>
    </w:p>
    <w:p>
      <w:pPr>
        <w:pStyle w:val="14"/>
        <w:rPr>
          <w:rFonts w:hint="eastAsia" w:ascii="楷体" w:hAnsi="楷体" w:eastAsia="楷体" w:cs="楷体"/>
        </w:rPr>
      </w:pPr>
    </w:p>
    <w:p>
      <w:pPr>
        <w:rPr>
          <w:rFonts w:hint="eastAsia" w:ascii="楷体" w:hAnsi="楷体" w:eastAsia="楷体" w:cs="楷体"/>
          <w:sz w:val="22"/>
          <w:szCs w:val="24"/>
        </w:rPr>
      </w:pPr>
      <w:r>
        <w:rPr>
          <w:rFonts w:hint="eastAsia" w:ascii="楷体" w:hAnsi="楷体" w:eastAsia="楷体" w:cs="楷体"/>
          <w:sz w:val="22"/>
          <w:szCs w:val="24"/>
        </w:rPr>
        <w:t>（五）自有资金投资情况</w:t>
      </w:r>
    </w:p>
    <w:tbl>
      <w:tblPr>
        <w:tblStyle w:val="9"/>
        <w:tblW w:w="7299" w:type="dxa"/>
        <w:tblInd w:w="0" w:type="dxa"/>
        <w:tblLayout w:type="fixed"/>
        <w:tblCellMar>
          <w:top w:w="0" w:type="dxa"/>
          <w:left w:w="108" w:type="dxa"/>
          <w:bottom w:w="0" w:type="dxa"/>
          <w:right w:w="108" w:type="dxa"/>
        </w:tblCellMar>
      </w:tblPr>
      <w:tblGrid>
        <w:gridCol w:w="2796"/>
        <w:gridCol w:w="4503"/>
      </w:tblGrid>
      <w:tr>
        <w:tblPrEx>
          <w:tblCellMar>
            <w:top w:w="0" w:type="dxa"/>
            <w:left w:w="108" w:type="dxa"/>
            <w:bottom w:w="0" w:type="dxa"/>
            <w:right w:w="108" w:type="dxa"/>
          </w:tblCellMar>
        </w:tblPrEx>
        <w:trPr>
          <w:trHeight w:val="311"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产品名称</w:t>
            </w:r>
          </w:p>
        </w:tc>
        <w:tc>
          <w:tcPr>
            <w:tcW w:w="450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78" w:hRule="atLeast"/>
        </w:trPr>
        <w:tc>
          <w:tcPr>
            <w:tcW w:w="2796"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c>
          <w:tcPr>
            <w:tcW w:w="4503" w:type="dxa"/>
            <w:tcBorders>
              <w:top w:val="single" w:color="000000" w:sz="4" w:space="0"/>
              <w:left w:val="single" w:color="000000" w:sz="4" w:space="0"/>
              <w:bottom w:val="single" w:color="000000" w:sz="4" w:space="0"/>
              <w:right w:val="single" w:color="000000" w:sz="4" w:space="0"/>
            </w:tcBorders>
            <w:shd w:val="clear" w:color="auto" w:fill="auto"/>
          </w:tcPr>
          <w:p>
            <w:pPr>
              <w:jc w:val="center"/>
              <w:rPr>
                <w:rFonts w:hint="eastAsia" w:ascii="楷体" w:hAnsi="楷体" w:eastAsia="楷体" w:cs="楷体"/>
                <w:sz w:val="22"/>
              </w:rPr>
            </w:pPr>
            <w:r>
              <w:rPr>
                <w:rFonts w:hint="eastAsia" w:ascii="楷体" w:hAnsi="楷体" w:eastAsia="楷体" w:cs="楷体"/>
                <w:sz w:val="22"/>
              </w:rPr>
              <w:t>-</w:t>
            </w:r>
          </w:p>
        </w:tc>
      </w:tr>
    </w:tbl>
    <w:p>
      <w:pPr>
        <w:ind w:firstLine="420" w:firstLineChars="200"/>
        <w:rPr>
          <w:rFonts w:hint="eastAsia" w:ascii="楷体" w:hAnsi="楷体" w:eastAsia="楷体" w:cs="楷体"/>
          <w:bCs/>
          <w:kern w:val="0"/>
          <w:sz w:val="21"/>
          <w:szCs w:val="21"/>
        </w:rPr>
      </w:pPr>
      <w:r>
        <w:rPr>
          <w:rFonts w:hint="eastAsia" w:ascii="楷体" w:hAnsi="楷体" w:eastAsia="楷体" w:cs="楷体"/>
          <w:bCs/>
          <w:kern w:val="0"/>
          <w:sz w:val="21"/>
          <w:szCs w:val="21"/>
        </w:rPr>
        <w:t>本公司自有资金投资本公司管理的理财产品适用的费率均不优于其他投资者。</w:t>
      </w:r>
    </w:p>
    <w:p>
      <w:pPr>
        <w:ind w:firstLine="560" w:firstLineChars="200"/>
        <w:rPr>
          <w:rFonts w:hint="eastAsia" w:ascii="楷体" w:hAnsi="楷体" w:eastAsia="楷体" w:cs="楷体"/>
          <w:bCs/>
          <w:kern w:val="0"/>
          <w:szCs w:val="21"/>
        </w:rPr>
      </w:pPr>
    </w:p>
    <w:p>
      <w:pPr>
        <w:rPr>
          <w:rFonts w:hint="eastAsia" w:ascii="楷体" w:hAnsi="楷体" w:eastAsia="楷体" w:cs="楷体"/>
          <w:sz w:val="22"/>
          <w:szCs w:val="24"/>
        </w:rPr>
      </w:pPr>
      <w:r>
        <w:rPr>
          <w:rFonts w:hint="eastAsia" w:ascii="楷体" w:hAnsi="楷体" w:eastAsia="楷体" w:cs="楷体"/>
          <w:sz w:val="22"/>
          <w:szCs w:val="24"/>
        </w:rPr>
        <w:t>（六）理财产品份额变动情况</w:t>
      </w:r>
    </w:p>
    <w:tbl>
      <w:tblPr>
        <w:tblStyle w:val="9"/>
        <w:tblW w:w="7305" w:type="dxa"/>
        <w:tblInd w:w="0" w:type="dxa"/>
        <w:tblLayout w:type="fixed"/>
        <w:tblCellMar>
          <w:top w:w="0" w:type="dxa"/>
          <w:left w:w="108" w:type="dxa"/>
          <w:bottom w:w="0" w:type="dxa"/>
          <w:right w:w="108" w:type="dxa"/>
        </w:tblCellMar>
      </w:tblPr>
      <w:tblGrid>
        <w:gridCol w:w="2798"/>
        <w:gridCol w:w="4507"/>
      </w:tblGrid>
      <w:tr>
        <w:tblPrEx>
          <w:tblCellMar>
            <w:top w:w="0" w:type="dxa"/>
            <w:left w:w="108" w:type="dxa"/>
            <w:bottom w:w="0" w:type="dxa"/>
            <w:right w:w="108" w:type="dxa"/>
          </w:tblCellMar>
        </w:tblPrEx>
        <w:trPr>
          <w:trHeight w:val="311" w:hRule="atLeast"/>
        </w:trPr>
        <w:tc>
          <w:tcPr>
            <w:tcW w:w="2798"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日期</w:t>
            </w:r>
          </w:p>
        </w:tc>
        <w:tc>
          <w:tcPr>
            <w:tcW w:w="4507"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hint="eastAsia" w:ascii="楷体" w:hAnsi="楷体" w:eastAsia="楷体" w:cs="楷体"/>
                <w:sz w:val="22"/>
                <w:szCs w:val="24"/>
              </w:rPr>
            </w:pPr>
            <w:r>
              <w:rPr>
                <w:rFonts w:hint="eastAsia" w:ascii="楷体" w:hAnsi="楷体" w:eastAsia="楷体" w:cs="楷体"/>
                <w:sz w:val="22"/>
                <w:szCs w:val="24"/>
              </w:rPr>
              <w:t>持有份额（份）</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2025-06-30</w:t>
            </w:r>
          </w:p>
        </w:tc>
        <w:tc>
          <w:tcPr>
            <w:tcW w:w="4507" w:type="dxa"/>
            <w:tcBorders>
              <w:top w:val="single" w:color="000000" w:sz="4" w:space="0"/>
              <w:left w:val="single" w:color="000000" w:sz="4" w:space="0"/>
              <w:bottom w:val="single" w:color="000000" w:sz="4" w:space="0"/>
              <w:right w:val="single" w:color="000000" w:sz="4" w:space="0"/>
            </w:tcBorders>
          </w:tcPr>
          <w:p>
            <w:pPr>
              <w:jc w:val="center"/>
              <w:rPr>
                <w:rFonts w:hint="eastAsia" w:ascii="楷体" w:hAnsi="楷体" w:eastAsia="楷体" w:cs="楷体"/>
                <w:sz w:val="22"/>
              </w:rPr>
            </w:pPr>
            <w:r>
              <w:rPr>
                <w:rFonts w:hint="eastAsia" w:ascii="楷体" w:hAnsi="楷体" w:eastAsia="楷体" w:cs="楷体"/>
                <w:sz w:val="22"/>
              </w:rPr>
              <w:t>57,051,402.00</w:t>
            </w:r>
          </w:p>
        </w:tc>
      </w:tr>
      <w:tr>
        <w:tblPrEx>
          <w:tblCellMar>
            <w:top w:w="0" w:type="dxa"/>
            <w:left w:w="108" w:type="dxa"/>
            <w:bottom w:w="0" w:type="dxa"/>
            <w:right w:w="108" w:type="dxa"/>
          </w:tblCellMar>
        </w:tblPrEx>
        <w:trPr>
          <w:trHeight w:val="320" w:hRule="atLeast"/>
        </w:trPr>
        <w:tc>
          <w:tcPr>
            <w:tcW w:w="2798"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2025-03-31</w:t>
            </w:r>
          </w:p>
        </w:tc>
        <w:tc>
          <w:tcPr>
            <w:tcW w:w="4507" w:type="dxa"/>
            <w:tcBorders>
              <w:top w:val="single" w:color="000000" w:sz="4" w:space="0"/>
              <w:left w:val="single" w:color="000000" w:sz="4" w:space="0"/>
              <w:bottom w:val="single" w:color="000000" w:sz="4" w:space="0"/>
              <w:right w:val="single" w:color="000000" w:sz="4" w:space="0"/>
            </w:tcBorders>
          </w:tcPr>
          <w:p>
            <w:pPr>
              <w:pageBreakBefore w:val="0"/>
              <w:jc w:val="center"/>
              <w:textAlignment w:val="auto"/>
            </w:pPr>
            <w:r>
              <w:rPr>
                <w:rFonts w:ascii="楷体" w:hAnsi="楷体" w:eastAsia="楷体" w:cs="楷体"/>
                <w:b w:val="0"/>
                <w:i w:val="0"/>
                <w:strike w:val="0"/>
                <w:color w:val="auto"/>
                <w:position w:val="-1"/>
                <w:sz w:val="22"/>
                <w:u w:val="none"/>
              </w:rPr>
              <w:t>57,051,402.00</w:t>
            </w:r>
          </w:p>
        </w:tc>
      </w:tr>
    </w:tbl>
    <w:p>
      <w:pPr>
        <w:pStyle w:val="14"/>
        <w:rPr>
          <w:rFonts w:hint="eastAsia" w:ascii="楷体" w:hAnsi="楷体" w:eastAsia="楷体" w:cs="楷体"/>
        </w:rPr>
      </w:pPr>
    </w:p>
    <w:p>
      <w:pPr>
        <w:pStyle w:val="2"/>
        <w:rPr>
          <w:rFonts w:hint="eastAsia" w:ascii="楷体" w:hAnsi="楷体" w:eastAsia="楷体" w:cs="楷体"/>
        </w:rPr>
      </w:pPr>
      <w:r>
        <w:rPr>
          <w:rFonts w:hint="eastAsia" w:ascii="楷体" w:hAnsi="楷体" w:eastAsia="楷体" w:cs="楷体"/>
        </w:rPr>
        <w:t>四.投资运作情况</w:t>
      </w:r>
    </w:p>
    <w:p>
      <w:pPr>
        <w:pStyle w:val="2"/>
        <w:rPr>
          <w:rFonts w:hint="eastAsia" w:ascii="楷体" w:hAnsi="楷体" w:eastAsia="楷体" w:cs="楷体"/>
          <w:b w:val="0"/>
          <w:sz w:val="21"/>
        </w:rPr>
      </w:pPr>
      <w:r>
        <w:rPr>
          <w:rFonts w:hint="eastAsia" w:ascii="楷体" w:hAnsi="楷体" w:eastAsia="楷体" w:cs="楷体"/>
          <w:b w:val="0"/>
          <w:sz w:val="21"/>
        </w:rPr>
        <w:t>1、运作期回顾</w:t>
      </w:r>
    </w:p>
    <w:p>
      <w:pPr>
        <w:pStyle w:val="4"/>
        <w:spacing w:before="0" w:line="240" w:lineRule="auto"/>
        <w:ind w:left="0" w:right="0" w:firstLine="0" w:firstLineChars="0"/>
        <w:rPr>
          <w:rFonts w:hint="eastAsia" w:ascii="楷体" w:hAnsi="楷体" w:eastAsia="楷体" w:cs="楷体"/>
          <w:spacing w:val="8"/>
          <w:sz w:val="21"/>
        </w:rPr>
      </w:pPr>
      <w:r>
        <w:rPr>
          <w:rFonts w:hint="eastAsia" w:ascii="楷体" w:hAnsi="楷体" w:eastAsia="楷体" w:cs="楷体"/>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4"/>
        <w:spacing w:before="43" w:line="275" w:lineRule="auto"/>
        <w:ind w:right="1799" w:firstLine="226" w:firstLineChars="100"/>
        <w:rPr>
          <w:rFonts w:hint="eastAsia" w:ascii="楷体" w:hAnsi="楷体" w:eastAsia="楷体" w:cs="楷体"/>
          <w:spacing w:val="8"/>
          <w:sz w:val="21"/>
        </w:rPr>
      </w:pPr>
    </w:p>
    <w:p>
      <w:pPr>
        <w:pStyle w:val="2"/>
        <w:rPr>
          <w:rFonts w:hint="eastAsia" w:ascii="楷体" w:hAnsi="楷体" w:eastAsia="楷体" w:cs="楷体"/>
          <w:b w:val="0"/>
          <w:sz w:val="21"/>
        </w:rPr>
      </w:pPr>
      <w:r>
        <w:rPr>
          <w:rFonts w:hint="eastAsia" w:ascii="楷体" w:hAnsi="楷体" w:eastAsia="楷体" w:cs="楷体"/>
          <w:b w:val="0"/>
          <w:sz w:val="21"/>
        </w:rPr>
        <w:t>2、后市展望及下阶段投资策略</w:t>
      </w:r>
    </w:p>
    <w:p>
      <w:pPr>
        <w:pStyle w:val="4"/>
        <w:spacing w:before="0" w:line="240" w:lineRule="auto"/>
        <w:ind w:left="0" w:right="0" w:firstLine="0" w:firstLineChars="0"/>
        <w:jc w:val="both"/>
        <w:rPr>
          <w:rFonts w:hint="eastAsia" w:ascii="楷体" w:hAnsi="楷体" w:eastAsia="楷体" w:cs="楷体"/>
          <w:sz w:val="21"/>
        </w:rPr>
      </w:pPr>
      <w:r>
        <w:rPr>
          <w:rFonts w:hint="eastAsia" w:ascii="楷体" w:hAnsi="楷体" w:eastAsia="楷体" w:cs="楷体"/>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hint="eastAsia" w:ascii="楷体" w:hAnsi="楷体" w:eastAsia="楷体" w:cs="楷体"/>
          <w:spacing w:val="9"/>
          <w:sz w:val="21"/>
        </w:rPr>
        <w:br w:type="textWrapping"/>
      </w:r>
      <w:r>
        <w:rPr>
          <w:rFonts w:hint="eastAsia" w:ascii="楷体" w:hAnsi="楷体" w:eastAsia="楷体" w:cs="楷体"/>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hint="eastAsia" w:ascii="楷体" w:hAnsi="楷体" w:eastAsia="楷体" w:cs="楷体"/>
          <w:spacing w:val="9"/>
          <w:sz w:val="21"/>
        </w:rPr>
        <w:br w:type="textWrapping"/>
      </w:r>
      <w:r>
        <w:rPr>
          <w:rFonts w:hint="eastAsia" w:ascii="楷体" w:hAnsi="楷体" w:eastAsia="楷体" w:cs="楷体"/>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560" w:firstLineChars="200"/>
        <w:rPr>
          <w:rFonts w:hint="eastAsia" w:ascii="楷体" w:hAnsi="楷体" w:eastAsia="楷体" w:cs="楷体"/>
          <w:bCs/>
          <w:kern w:val="0"/>
          <w:szCs w:val="21"/>
        </w:rPr>
      </w:pPr>
    </w:p>
    <w:p>
      <w:pPr>
        <w:pStyle w:val="2"/>
        <w:rPr>
          <w:rFonts w:hint="eastAsia" w:ascii="楷体" w:hAnsi="楷体" w:eastAsia="楷体" w:cs="楷体"/>
          <w:b w:val="0"/>
          <w:sz w:val="21"/>
        </w:rPr>
      </w:pPr>
      <w:r>
        <w:rPr>
          <w:rFonts w:hint="eastAsia" w:ascii="楷体" w:hAnsi="楷体" w:eastAsia="楷体" w:cs="楷体"/>
          <w:b w:val="0"/>
          <w:sz w:val="21"/>
        </w:rPr>
        <w:t>3、流动性风险分析</w:t>
      </w:r>
    </w:p>
    <w:p>
      <w:pPr>
        <w:pStyle w:val="4"/>
        <w:spacing w:before="0" w:line="240" w:lineRule="auto"/>
        <w:ind w:left="0" w:right="0" w:firstLine="0" w:firstLineChars="0"/>
        <w:rPr>
          <w:rFonts w:hint="eastAsia" w:ascii="楷体" w:hAnsi="楷体" w:eastAsia="楷体" w:cs="楷体"/>
          <w:sz w:val="21"/>
        </w:rPr>
      </w:pPr>
      <w:r>
        <w:rPr>
          <w:rFonts w:hint="eastAsia" w:ascii="楷体" w:hAnsi="楷体" w:eastAsia="楷体" w:cs="楷体"/>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560" w:firstLineChars="200"/>
        <w:rPr>
          <w:rFonts w:hint="eastAsia" w:ascii="楷体" w:hAnsi="楷体" w:eastAsia="楷体" w:cs="楷体"/>
          <w:bCs/>
          <w:kern w:val="0"/>
          <w:szCs w:val="21"/>
        </w:rPr>
      </w:pPr>
    </w:p>
    <w:p>
      <w:pPr>
        <w:rPr>
          <w:rFonts w:hint="eastAsia" w:ascii="楷体" w:hAnsi="楷体" w:eastAsia="楷体" w:cs="楷体"/>
        </w:rPr>
      </w:pPr>
    </w:p>
    <w:p>
      <w:pPr>
        <w:ind w:firstLine="560" w:firstLineChars="200"/>
        <w:rPr>
          <w:rFonts w:hint="eastAsia" w:ascii="楷体" w:hAnsi="楷体" w:eastAsia="楷体" w:cs="楷体"/>
          <w:bCs/>
          <w:kern w:val="0"/>
          <w:szCs w:val="21"/>
        </w:rPr>
      </w:pPr>
    </w:p>
    <w:p>
      <w:pPr>
        <w:rPr>
          <w:rFonts w:hint="eastAsia" w:ascii="楷体" w:hAnsi="楷体" w:eastAsia="楷体" w:cs="楷体"/>
          <w:sz w:val="21"/>
          <w:szCs w:val="21"/>
        </w:rPr>
      </w:pPr>
    </w:p>
    <w:p>
      <w:pPr>
        <w:jc w:val="right"/>
        <w:rPr>
          <w:rFonts w:hint="eastAsia" w:ascii="楷体" w:hAnsi="楷体" w:eastAsia="楷体" w:cs="楷体"/>
          <w:sz w:val="21"/>
          <w:szCs w:val="21"/>
        </w:rPr>
      </w:pPr>
      <w:r>
        <w:rPr>
          <w:rFonts w:hint="eastAsia" w:ascii="楷体" w:hAnsi="楷体" w:eastAsia="楷体" w:cs="楷体"/>
          <w:b/>
          <w:sz w:val="21"/>
          <w:szCs w:val="21"/>
        </w:rPr>
        <w:t>苏银理财有限责任公司</w:t>
      </w:r>
    </w:p>
    <w:p>
      <w:pPr>
        <w:ind w:firstLine="630" w:firstLineChars="300"/>
        <w:jc w:val="right"/>
        <w:rPr>
          <w:rFonts w:hint="eastAsia" w:ascii="楷体" w:hAnsi="楷体" w:eastAsia="楷体" w:cs="楷体"/>
          <w:sz w:val="21"/>
          <w:szCs w:val="21"/>
        </w:rPr>
      </w:pPr>
      <w:r>
        <w:rPr>
          <w:rFonts w:hint="eastAsia" w:ascii="楷体" w:hAnsi="楷体" w:eastAsia="楷体" w:cs="楷体"/>
          <w:sz w:val="21"/>
          <w:szCs w:val="21"/>
        </w:rPr>
        <w:t>2025年06月30日</w:t>
      </w:r>
    </w:p>
    <w:p>
      <w:pPr>
        <w:rPr>
          <w:rFonts w:hint="eastAsia" w:ascii="楷体" w:hAnsi="楷体" w:eastAsia="楷体" w:cs="楷体"/>
          <w:sz w:val="21"/>
          <w:szCs w:val="21"/>
        </w:rPr>
      </w:pPr>
    </w:p>
    <w:p>
      <w:pPr>
        <w:rPr>
          <w:rFonts w:hint="eastAsia" w:ascii="楷体" w:hAnsi="楷体" w:eastAsia="楷体" w:cs="楷体"/>
          <w:sz w:val="21"/>
          <w:szCs w:val="21"/>
        </w:rPr>
      </w:pPr>
      <w:r>
        <w:rPr>
          <w:rFonts w:hint="eastAsia" w:ascii="楷体" w:hAnsi="楷体" w:eastAsia="楷体" w:cs="楷体"/>
          <w:sz w:val="21"/>
          <w:szCs w:val="21"/>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kinsoku w:val="0"/>
      <w:overflowPunct w:val="0"/>
      <w:spacing w:before="0" w:line="320" w:lineRule="exact"/>
      <w:ind w:left="20"/>
      <w:jc w:val="both"/>
      <w:rPr>
        <w:rFonts w:ascii="楷体" w:hAnsi="楷体" w:eastAsia="楷体" w:cs="黑体"/>
        <w:b/>
        <w:spacing w:val="-2"/>
        <w:sz w:val="24"/>
        <w:szCs w:val="24"/>
      </w:rPr>
    </w:pPr>
    <w:r>
      <w:pict>
        <v:shape id="WordPictureWatermark1026" o:spid="_x0000_s4098"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4099" o:spt="75"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2" o:title=""/>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5" o:spid="_x0000_s4100"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WordPictureWatermark1027" o:spid="_x0000_s4097"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A33954"/>
    <w:multiLevelType w:val="singleLevel"/>
    <w:tmpl w:val="F3A33954"/>
    <w:lvl w:ilvl="0" w:tentative="0">
      <w:start w:val="3"/>
      <w:numFmt w:val="chineseCounting"/>
      <w:suff w:val="nothing"/>
      <w:lvlText w:val="（%1）"/>
      <w:lvlJc w:val="left"/>
      <w:rPr>
        <w:rFonts w:hint="eastAsia"/>
      </w:rPr>
    </w:lvl>
  </w:abstractNum>
  <w:abstractNum w:abstractNumId="1">
    <w:nsid w:val="54701CA1"/>
    <w:multiLevelType w:val="singleLevel"/>
    <w:tmpl w:val="54701CA1"/>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w:rsids>
    <w:rsidRoot w:val="00000000"/>
    <w:rsid w:val="382F0054"/>
    <w:rsid w:val="4568047D"/>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2"/>
      <w:lang w:val="en-US" w:eastAsia="zh-CN" w:bidi="ar-SA"/>
    </w:rPr>
  </w:style>
  <w:style w:type="paragraph" w:styleId="2">
    <w:name w:val="heading 3"/>
    <w:basedOn w:val="1"/>
    <w:next w:val="1"/>
    <w:link w:val="23"/>
    <w:qFormat/>
    <w:uiPriority w:val="1"/>
    <w:pPr>
      <w:autoSpaceDE w:val="0"/>
      <w:autoSpaceDN w:val="0"/>
      <w:adjustRightInd w:val="0"/>
      <w:spacing w:before="34"/>
      <w:ind w:left="120"/>
      <w:jc w:val="left"/>
      <w:outlineLvl w:val="2"/>
    </w:pPr>
    <w:rPr>
      <w:rFonts w:ascii="宋体" w:hAnsi="Times New Roman" w:eastAsia="楷体"/>
      <w:b/>
      <w:bCs/>
      <w:kern w:val="0"/>
      <w:sz w:val="24"/>
      <w:szCs w:val="21"/>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autoSpaceDE w:val="0"/>
      <w:autoSpaceDN w:val="0"/>
      <w:adjustRightInd w:val="0"/>
      <w:spacing w:before="162"/>
      <w:ind w:left="120"/>
      <w:jc w:val="left"/>
    </w:pPr>
    <w:rPr>
      <w:rFonts w:ascii="宋体" w:hAnsi="Times New Roman" w:eastAsia="宋体" w:cs="宋体"/>
      <w:kern w:val="0"/>
      <w:sz w:val="20"/>
      <w:szCs w:val="21"/>
    </w:rPr>
  </w:style>
  <w:style w:type="paragraph" w:styleId="5">
    <w:name w:val="Balloon Text"/>
    <w:basedOn w:val="1"/>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paragraph" w:customStyle="1" w:styleId="13">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14">
    <w:name w:val="标题4"/>
    <w:basedOn w:val="1"/>
    <w:qFormat/>
    <w:uiPriority w:val="0"/>
    <w:rPr>
      <w:rFonts w:eastAsia="楷体"/>
    </w:rPr>
  </w:style>
  <w:style w:type="character" w:customStyle="1" w:styleId="15">
    <w:name w:val="页眉 字符"/>
    <w:qFormat/>
    <w:uiPriority w:val="99"/>
    <w:rPr>
      <w:sz w:val="18"/>
      <w:szCs w:val="18"/>
    </w:rPr>
  </w:style>
  <w:style w:type="character" w:customStyle="1" w:styleId="16">
    <w:name w:val="页脚 字符"/>
    <w:qFormat/>
    <w:uiPriority w:val="99"/>
    <w:rPr>
      <w:sz w:val="18"/>
      <w:szCs w:val="18"/>
    </w:rPr>
  </w:style>
  <w:style w:type="character" w:customStyle="1" w:styleId="17">
    <w:name w:val="正文文本 字符1"/>
    <w:qFormat/>
    <w:uiPriority w:val="1"/>
    <w:rPr>
      <w:rFonts w:ascii="宋体" w:hAnsi="Times New Roman" w:eastAsia="宋体" w:cs="宋体"/>
      <w:szCs w:val="21"/>
    </w:rPr>
  </w:style>
  <w:style w:type="character" w:customStyle="1" w:styleId="18">
    <w:name w:val="正文文本 字符"/>
    <w:semiHidden/>
    <w:qFormat/>
    <w:uiPriority w:val="99"/>
    <w:rPr>
      <w:kern w:val="2"/>
      <w:sz w:val="21"/>
      <w:szCs w:val="22"/>
    </w:rPr>
  </w:style>
  <w:style w:type="character" w:customStyle="1" w:styleId="19">
    <w:name w:val="批注文字 字符1"/>
    <w:qFormat/>
    <w:uiPriority w:val="99"/>
    <w:rPr>
      <w:kern w:val="2"/>
      <w:sz w:val="21"/>
      <w:szCs w:val="22"/>
    </w:rPr>
  </w:style>
  <w:style w:type="character" w:customStyle="1" w:styleId="20">
    <w:name w:val="批注文字 字符"/>
    <w:semiHidden/>
    <w:qFormat/>
    <w:uiPriority w:val="99"/>
    <w:rPr>
      <w:kern w:val="2"/>
      <w:sz w:val="21"/>
      <w:szCs w:val="22"/>
    </w:rPr>
  </w:style>
  <w:style w:type="character" w:customStyle="1" w:styleId="21">
    <w:name w:val="批注框文本 字符"/>
    <w:semiHidden/>
    <w:qFormat/>
    <w:uiPriority w:val="99"/>
    <w:rPr>
      <w:kern w:val="2"/>
      <w:sz w:val="18"/>
      <w:szCs w:val="18"/>
    </w:rPr>
  </w:style>
  <w:style w:type="character" w:customStyle="1" w:styleId="22">
    <w:name w:val="标题 3 字符"/>
    <w:semiHidden/>
    <w:qFormat/>
    <w:uiPriority w:val="9"/>
    <w:rPr>
      <w:b/>
      <w:bCs/>
      <w:kern w:val="2"/>
      <w:sz w:val="32"/>
      <w:szCs w:val="32"/>
    </w:rPr>
  </w:style>
  <w:style w:type="character" w:customStyle="1" w:styleId="23">
    <w:name w:val="标题 3 字符1"/>
    <w:link w:val="2"/>
    <w:qFormat/>
    <w:uiPriority w:val="1"/>
    <w:rPr>
      <w:rFonts w:ascii="宋体" w:hAnsi="Times New Roman" w:eastAsia="楷体"/>
      <w:b/>
      <w:bCs/>
      <w:sz w:val="24"/>
      <w:szCs w:val="21"/>
    </w:rPr>
  </w:style>
  <w:style w:type="character" w:customStyle="1" w:styleId="24">
    <w:name w:val="标题4 字符"/>
    <w:qFormat/>
    <w:uiPriority w:val="0"/>
    <w:rPr>
      <w:rFonts w:eastAsia="楷体"/>
      <w:kern w:val="2"/>
      <w:sz w:val="21"/>
      <w:szCs w:val="22"/>
    </w:rPr>
  </w:style>
  <w:style w:type="paragraph" w:customStyle="1" w:styleId="25">
    <w:name w:val="Table Text"/>
    <w:basedOn w:val="1"/>
    <w:semiHidden/>
    <w:qFormat/>
    <w:uiPriority w:val="0"/>
    <w:rPr>
      <w:rFonts w:ascii="楷体" w:hAnsi="楷体" w:eastAsia="楷体" w:cs="楷体"/>
      <w:sz w:val="22"/>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3.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c84118-a467-40bb-8ef1-3780eb7d78d9}">
  <ds:schemaRefs/>
</ds:datastoreItem>
</file>

<file path=customXml/itemProps3.xml><?xml version="1.0" encoding="utf-8"?>
<ds:datastoreItem xmlns:ds="http://schemas.openxmlformats.org/officeDocument/2006/customXml" ds:itemID="{46ae35e7-8538-4123-a765-44382534778b}">
  <ds:schemaRefs/>
</ds:datastoreItem>
</file>

<file path=customXml/itemProps4.xml><?xml version="1.0" encoding="utf-8"?>
<ds:datastoreItem xmlns:ds="http://schemas.openxmlformats.org/officeDocument/2006/customXml" ds:itemID="{6e1d9ebe-c207-4862-9748-73bc7490b613}">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2021-11-18T10:04:00Z</dcterms:created>
  <dc:creator>User</dc:creator>
  <cp:lastModifiedBy>jsyh</cp:lastModifiedBy>
  <dcterms:modified xsi:type="dcterms:W3CDTF">2025-07-16T06:09:17Z</dcterms:modified>
  <dc:title>_x201C__x0024__x007B_prdInfo.PRD_NAME_x007D__x201D_理财产品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72DE789605B74C90B773710EE6E7EB1D</vt:lpwstr>
  </property>
</Properties>
</file>