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wpc="http://schemas.microsoft.com/office/word/2010/wordprocessingCanvas" xmlns:wp14="http://schemas.microsoft.com/office/word/2010/wordprocessingDrawing" xmlns:w14="http://schemas.microsoft.com/office/word/2010/wordml" xmlns:wpg="http://schemas.microsoft.com/office/word/2010/wordprocessingGroup" xmlns:wpi="http://schemas.microsoft.com/office/word/2010/wordprocessingInk" xmlns:wps="http://schemas.microsoft.com/office/word/2010/wordprocessingShape" mc:Ignorable="w14 wp14">
  <!-- Generated by Spire.Doc -->
  <w:body>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sz w:val="36"/>
          <w:szCs w:val="36"/>
        </w:rPr>
        <w:t xml:space="preserve">“</w:t>
      </w:r>
      <w:r>
        <w:rPr>
          <w:rFonts w:ascii="楷体" w:eastAsia="楷体" w:hAnsi="楷体" w:cs="楷体" w:hint="eastAsia"/>
          <w:b/>
          <w:bCs/>
          <w:spacing w:val="-1"/>
          <w:sz w:val="36"/>
          <w:szCs w:val="36"/>
        </w:rPr>
        <w:t xml:space="preserve">苏银理财恒源封闭债权141期</w:t>
      </w:r>
      <w:r>
        <w:rPr>
          <w:rFonts w:ascii="楷体" w:eastAsia="楷体" w:hAnsi="楷体" w:cs="楷体" w:hint="eastAsia"/>
          <w:b/>
          <w:sz w:val="36"/>
          <w:szCs w:val="36"/>
        </w:rPr>
        <w:t xml:space="preserve">”理财产品</w:t>
      </w:r>
    </w:p>
    <w:p>
      <w:pPr>
        <w:pStyle w:val="Normal(Web)"/>
        <w:spacing w:before="0" w:beforeAutospacing="0" w:after="0" w:afterAutospacing="0"/>
        <w:jc w:val="center"/>
        <w:rPr>
          <w:rFonts w:ascii="楷体" w:eastAsia="楷体" w:hAnsi="楷体" w:cs="楷体" w:hint="eastAsia"/>
          <w:b/>
          <w:sz w:val="36"/>
          <w:szCs w:val="36"/>
        </w:rPr>
      </w:pPr>
      <w:r>
        <w:rPr>
          <w:rFonts w:ascii="楷体" w:eastAsia="楷体" w:hAnsi="楷体" w:cs="楷体" w:hint="eastAsia"/>
          <w:b/>
          <w:bCs/>
          <w:spacing w:val="4"/>
          <w:sz w:val="36"/>
          <w:szCs w:val="36"/>
        </w:rPr>
        <w:t xml:space="preserve">2025年二季度</w:t>
      </w:r>
      <w:r>
        <w:rPr>
          <w:rFonts w:ascii="楷体" w:eastAsia="楷体" w:hAnsi="楷体" w:cs="楷体" w:hint="eastAsia"/>
          <w:b/>
          <w:sz w:val="36"/>
          <w:szCs w:val="36"/>
        </w:rPr>
        <w:t xml:space="preserve">投资管理报告</w:t>
      </w:r>
    </w:p>
    <w:p>
      <w:pPr>
        <w:pStyle w:val="Normal(Web)"/>
        <w:spacing w:before="0" w:beforeAutospacing="0" w:after="0" w:afterAutospacing="0" w:line="360" w:lineRule="auto"/>
        <w:rPr>
          <w:rFonts w:ascii="楷体" w:eastAsia="楷体" w:hAnsi="楷体" w:cs="楷体" w:hint="eastAsia"/>
        </w:rPr>
      </w:pPr>
      <w:r>
        <w:rPr>
          <w:rFonts w:ascii="楷体" w:eastAsia="楷体" w:hAnsi="楷体" w:cs="楷体" w:hint="eastAsia"/>
        </w:rPr>
        <w:t xml:space="preserve">尊敬的投资者：</w:t>
      </w:r>
    </w:p>
    <w:p>
      <w:pPr>
        <w:pStyle w:val="Normal(Web)"/>
        <w:spacing w:before="0" w:beforeAutospacing="0" w:after="0" w:afterAutospacing="0" w:line="360" w:lineRule="auto"/>
        <w:ind w:firstLine="566" w:firstLineChars="236"/>
        <w:rPr>
          <w:rFonts w:ascii="楷体" w:eastAsia="楷体" w:hAnsi="楷体" w:cs="楷体" w:hint="eastAsia"/>
        </w:rPr>
      </w:pPr>
      <w:r>
        <w:rPr>
          <w:rFonts w:ascii="楷体" w:eastAsia="楷体" w:hAnsi="楷体" w:cs="楷体" w:hint="eastAsia"/>
        </w:rPr>
        <w:t xml:space="preserve">“</w:t>
      </w:r>
      <w:r>
        <w:rPr>
          <w:rFonts w:ascii="楷体" w:eastAsia="楷体" w:hAnsi="楷体" w:cs="楷体" w:hint="eastAsia"/>
          <w:spacing w:val="-7"/>
        </w:rPr>
        <w:t xml:space="preserve">苏银理财恒源封闭债权141期</w:t>
      </w:r>
      <w:r>
        <w:rPr>
          <w:rFonts w:ascii="楷体" w:eastAsia="楷体" w:hAnsi="楷体" w:cs="楷体" w:hint="eastAsia"/>
        </w:rPr>
        <w:t xml:space="preserve">”理财产品于</w:t>
      </w:r>
      <w:r>
        <w:rPr>
          <w:rFonts w:ascii="楷体" w:eastAsia="楷体" w:hAnsi="楷体" w:cs="楷体" w:hint="eastAsia"/>
          <w:spacing w:val="-53"/>
        </w:rPr>
        <w:t xml:space="preserve"> </w:t>
      </w:r>
      <w:r>
        <w:rPr>
          <w:rFonts w:ascii="楷体" w:eastAsia="楷体" w:hAnsi="楷体" w:cs="楷体" w:hint="eastAsia"/>
          <w:spacing w:val="-7"/>
        </w:rPr>
        <w:t xml:space="preserve">2024年11月06日</w:t>
      </w:r>
      <w:r>
        <w:rPr>
          <w:rFonts w:ascii="楷体" w:eastAsia="楷体" w:hAnsi="楷体" w:cs="楷体" w:hint="eastAsia"/>
        </w:rPr>
        <w:t xml:space="preserve">成立，于</w:t>
      </w:r>
      <w:r>
        <w:rPr>
          <w:rFonts w:ascii="楷体" w:eastAsia="楷体" w:hAnsi="楷体" w:cs="楷体" w:hint="eastAsia"/>
          <w:spacing w:val="-7"/>
        </w:rPr>
        <w:t xml:space="preserve">2024年11月06日</w:t>
      </w:r>
      <w:r>
        <w:rPr>
          <w:rFonts w:ascii="楷体" w:eastAsia="楷体" w:hAnsi="楷体" w:cs="楷体" w:hint="eastAsia"/>
        </w:rPr>
        <w:t xml:space="preserve">正式投资运作。</w:t>
      </w:r>
    </w:p>
    <w:p>
      <w:pPr>
        <w:pStyle w:val="Normal(Web)"/>
        <w:spacing w:before="0" w:beforeAutospacing="0" w:after="0" w:afterAutospacing="0" w:line="360" w:lineRule="auto"/>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一</w:t>
      </w:r>
      <w:bookmarkStart w:id="0" w:name="_Toc535504139"/>
      <w:r>
        <w:rPr>
          <w:rFonts w:ascii="楷体" w:eastAsia="楷体" w:hAnsi="楷体" w:cs="楷体" w:hint="eastAsia"/>
        </w:rPr>
        <w:t xml:space="preserve">、产品基本情况</w:t>
      </w:r>
      <w:bookmarkEnd w:id="0"/>
    </w:p>
    <w:tbl>
      <w:tblPr>
        <w:tblStyle w:val="TableNormal"/>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4774"/>
        <w:gridCol w:w="3847"/>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产品名称</w:t>
            </w:r>
          </w:p>
        </w:tc>
        <w:tc>
          <w:tcPr>
            <w:tcW w:w="3847" w:type="dxa"/>
          </w:tcPr>
          <w:p>
            <w:pPr>
              <w:pStyle w:val="TableText"/>
              <w:spacing w:before="56" w:line="202" w:lineRule="auto"/>
              <w:jc w:val="center"/>
              <w:rPr>
                <w:rFonts w:ascii="楷体" w:eastAsia="楷体" w:hAnsi="楷体" w:cs="楷体" w:hint="eastAsia"/>
                <w:sz w:val="24"/>
                <w:szCs w:val="24"/>
                <w:highlight w:val="yellow"/>
              </w:rPr>
            </w:pPr>
            <w:r>
              <w:rPr>
                <w:rFonts w:ascii="楷体" w:eastAsia="楷体" w:hAnsi="楷体" w:cs="楷体" w:hint="eastAsia"/>
                <w:spacing w:val="-6"/>
                <w:sz w:val="24"/>
                <w:szCs w:val="24"/>
              </w:rPr>
              <w:t xml:space="preserve">苏银理财恒源封闭债权141期</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全国银行业理财信息登记系统登记编码</w:t>
            </w:r>
          </w:p>
        </w:tc>
        <w:tc>
          <w:tcPr>
            <w:tcW w:w="3847" w:type="dxa"/>
          </w:tcPr>
          <w:p>
            <w:pPr>
              <w:pStyle w:val="TableText"/>
              <w:spacing w:before="85" w:line="176"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Z7003124000152</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产品运作方式</w:t>
            </w:r>
          </w:p>
        </w:tc>
        <w:tc>
          <w:tcPr>
            <w:tcW w:w="3847" w:type="dxa"/>
          </w:tcPr>
          <w:p>
            <w:pPr>
              <w:pStyle w:val="TableText"/>
              <w:spacing w:before="52" w:line="201" w:lineRule="auto"/>
              <w:jc w:val="center"/>
              <w:rPr>
                <w:rFonts w:ascii="楷体" w:eastAsia="楷体" w:hAnsi="楷体" w:cs="楷体" w:hint="eastAsia"/>
                <w:sz w:val="24"/>
                <w:szCs w:val="24"/>
                <w:highlight w:val="yellow"/>
              </w:rPr>
            </w:pPr>
            <w:r>
              <w:rPr>
                <w:rFonts w:ascii="楷体" w:eastAsia="楷体" w:hAnsi="楷体" w:cs="楷体" w:hint="eastAsia"/>
                <w:spacing w:val="-2"/>
                <w:sz w:val="24"/>
                <w:szCs w:val="24"/>
              </w:rPr>
              <w:t xml:space="preserve">封闭式净值型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报告期末产品存续份额（份）</w:t>
            </w:r>
          </w:p>
        </w:tc>
        <w:tc>
          <w:tcPr>
            <w:tcW w:w="3847" w:type="dxa"/>
          </w:tcPr>
          <w:p>
            <w:pPr>
              <w:pStyle w:val="TableText"/>
              <w:spacing w:before="87" w:line="174"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446,711,918.00</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产品资产净值（元）</w:t>
            </w:r>
          </w:p>
        </w:tc>
        <w:tc>
          <w:tcPr>
            <w:tcW w:w="3847" w:type="dxa"/>
          </w:tcPr>
          <w:p>
            <w:pPr>
              <w:pStyle w:val="TableText"/>
              <w:spacing w:before="78" w:line="182"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456,265,685.68</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风险收益特征</w:t>
            </w:r>
          </w:p>
        </w:tc>
        <w:tc>
          <w:tcPr>
            <w:tcW w:w="3847" w:type="dxa"/>
          </w:tcPr>
          <w:p>
            <w:pPr>
              <w:pStyle w:val="TableText"/>
              <w:spacing w:before="54" w:line="200" w:lineRule="auto"/>
              <w:jc w:val="center"/>
              <w:rPr>
                <w:rFonts w:ascii="楷体" w:eastAsia="楷体" w:hAnsi="楷体" w:cs="楷体" w:hint="eastAsia"/>
                <w:sz w:val="24"/>
                <w:szCs w:val="24"/>
                <w:highlight w:val="yellow"/>
              </w:rPr>
            </w:pPr>
            <w:r>
              <w:rPr>
                <w:rFonts w:ascii="楷体" w:eastAsia="楷体" w:hAnsi="楷体" w:cs="楷体" w:hint="eastAsia"/>
                <w:spacing w:val="-8"/>
                <w:sz w:val="24"/>
                <w:szCs w:val="24"/>
              </w:rPr>
              <w:t xml:space="preserve">中低风险型</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收益类型</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9"/>
                <w:sz w:val="24"/>
                <w:szCs w:val="24"/>
              </w:rPr>
              <w:t xml:space="preserve">固定收益类</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管理人</w:t>
            </w:r>
          </w:p>
        </w:tc>
        <w:tc>
          <w:tcPr>
            <w:tcW w:w="3847" w:type="dxa"/>
          </w:tcPr>
          <w:p>
            <w:pPr>
              <w:pStyle w:val="TableText"/>
              <w:spacing w:before="55" w:line="200"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苏银理财有限责任公司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托管人</w:t>
            </w:r>
          </w:p>
        </w:tc>
        <w:tc>
          <w:tcPr>
            <w:tcW w:w="3847" w:type="dxa"/>
          </w:tcPr>
          <w:p>
            <w:pPr>
              <w:pStyle w:val="TableText"/>
              <w:spacing w:before="56" w:line="199" w:lineRule="auto"/>
              <w:jc w:val="center"/>
              <w:rPr>
                <w:rFonts w:ascii="楷体" w:eastAsia="楷体" w:hAnsi="楷体" w:cs="楷体" w:hint="eastAsia"/>
                <w:sz w:val="24"/>
                <w:szCs w:val="24"/>
                <w:highlight w:val="yellow"/>
              </w:rPr>
            </w:pPr>
            <w:r>
              <w:rPr>
                <w:rFonts w:ascii="楷体" w:eastAsia="楷体" w:hAnsi="楷体" w:cs="楷体" w:hint="eastAsia"/>
                <w:spacing w:val="-3"/>
                <w:sz w:val="24"/>
                <w:szCs w:val="24"/>
              </w:rPr>
              <w:t xml:space="preserve">江苏银行股份有限公司</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w:t>
            </w:r>
          </w:p>
        </w:tc>
        <w:tc>
          <w:tcPr>
            <w:tcW w:w="3847" w:type="dxa"/>
          </w:tcPr>
          <w:p>
            <w:pPr>
              <w:pStyle w:val="TableText"/>
              <w:spacing w:before="90" w:line="173" w:lineRule="auto"/>
              <w:jc w:val="center"/>
              <w:rPr>
                <w:rFonts w:ascii="楷体" w:eastAsia="楷体" w:hAnsi="楷体" w:cs="楷体" w:hint="eastAsia"/>
                <w:sz w:val="24"/>
                <w:szCs w:val="24"/>
                <w:highlight w:val="yellow"/>
              </w:rPr>
            </w:pPr>
            <w:r>
              <w:rPr>
                <w:rFonts w:ascii="楷体" w:eastAsia="楷体" w:hAnsi="楷体" w:cs="楷体" w:hint="eastAsia"/>
                <w:spacing w:val="-1"/>
                <w:sz w:val="24"/>
                <w:szCs w:val="24"/>
              </w:rPr>
              <w:t xml:space="preserve">31000188000628665</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托管账户开户行</w:t>
            </w:r>
          </w:p>
        </w:tc>
        <w:tc>
          <w:tcPr>
            <w:tcW w:w="3847" w:type="dxa"/>
          </w:tcPr>
          <w:p>
            <w:pPr>
              <w:pStyle w:val="TableText"/>
              <w:spacing w:before="56" w:line="199" w:lineRule="auto"/>
              <w:jc w:val="center"/>
              <w:rPr>
                <w:rFonts w:ascii="楷体" w:eastAsia="楷体" w:hAnsi="楷体" w:cs="楷体" w:hint="eastAsia"/>
                <w:sz w:val="24"/>
                <w:szCs w:val="24"/>
              </w:rPr>
            </w:pPr>
            <w:r>
              <w:rPr>
                <w:rFonts w:ascii="楷体" w:eastAsia="楷体" w:hAnsi="楷体" w:cs="楷体" w:hint="eastAsia"/>
                <w:spacing w:val="-2"/>
                <w:sz w:val="24"/>
                <w:szCs w:val="24"/>
              </w:rPr>
              <w:t xml:space="preserve">江苏银行股份有限公司营业部</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产品资产总值（元）</w:t>
            </w:r>
          </w:p>
        </w:tc>
        <w:tc>
          <w:tcPr>
            <w:tcW w:w="3847" w:type="dxa"/>
          </w:tcPr>
          <w:p>
            <w:pPr>
              <w:pStyle w:val="TableText"/>
              <w:spacing w:before="81" w:line="180" w:lineRule="auto"/>
              <w:jc w:val="center"/>
              <w:rPr>
                <w:rFonts w:ascii="楷体" w:eastAsia="楷体" w:hAnsi="楷体" w:cs="楷体" w:hint="eastAsia"/>
                <w:sz w:val="24"/>
                <w:szCs w:val="24"/>
              </w:rPr>
            </w:pPr>
            <w:r>
              <w:rPr>
                <w:rFonts w:ascii="楷体" w:eastAsia="楷体" w:hAnsi="楷体" w:cs="楷体" w:hint="eastAsia"/>
                <w:spacing w:val="-1"/>
                <w:sz w:val="24"/>
                <w:szCs w:val="24"/>
              </w:rPr>
              <w:t xml:space="preserve">457,396,004.02</w:t>
            </w:r>
            <w:r>
              <w:rPr>
                <w:rFonts w:ascii="楷体" w:eastAsia="楷体" w:hAnsi="楷体" w:cs="楷体" w:hint="eastAsia"/>
                <w:spacing w:val="-29"/>
                <w:sz w:val="24"/>
                <w:szCs w:val="24"/>
              </w:rPr>
              <w:t xml:space="preserve"> </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4774" w:type="dxa"/>
            <w:vAlign w:val="center"/>
          </w:tcPr>
          <w:p>
            <w:pPr>
              <w:spacing w:line="320" w:lineRule="exact"/>
              <w:rPr>
                <w:rFonts w:ascii="楷体" w:eastAsia="楷体" w:hAnsi="楷体" w:cs="楷体" w:hint="eastAsia"/>
                <w:sz w:val="24"/>
                <w:szCs w:val="24"/>
              </w:rPr>
            </w:pPr>
            <w:r>
              <w:rPr>
                <w:rFonts w:ascii="楷体" w:eastAsia="楷体" w:hAnsi="楷体" w:cs="楷体" w:hint="eastAsia"/>
                <w:sz w:val="24"/>
                <w:szCs w:val="24"/>
              </w:rPr>
              <w:t xml:space="preserve">杠杆水平</w:t>
            </w:r>
          </w:p>
        </w:tc>
        <w:tc>
          <w:tcPr>
            <w:tcW w:w="3847" w:type="dxa"/>
          </w:tcPr>
          <w:p>
            <w:pPr>
              <w:pStyle w:val="TableText"/>
              <w:spacing w:before="56" w:line="202" w:lineRule="auto"/>
              <w:jc w:val="center"/>
              <w:rPr>
                <w:rFonts w:ascii="楷体" w:eastAsia="楷体" w:hAnsi="楷体" w:cs="楷体" w:hint="eastAsia"/>
                <w:sz w:val="24"/>
                <w:szCs w:val="24"/>
              </w:rPr>
            </w:pPr>
            <w:r>
              <w:rPr>
                <w:rFonts w:ascii="楷体" w:eastAsia="楷体" w:hAnsi="楷体" w:cs="楷体" w:hint="eastAsia"/>
                <w:spacing w:val="-4"/>
                <w:sz w:val="24"/>
                <w:szCs w:val="24"/>
              </w:rPr>
              <w:t xml:space="preserve">100.25%</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二、产品净值与业绩比较基准</w:t>
      </w:r>
    </w:p>
    <w:tbl>
      <w:tblPr>
        <w:tblStyle w:val="TableGrid"/>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510"/>
        <w:gridCol w:w="2100"/>
        <w:gridCol w:w="1470"/>
        <w:gridCol w:w="1665"/>
        <w:gridCol w:w="1876"/>
      </w:tblGrid>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报告日期</w:t>
            </w:r>
          </w:p>
        </w:tc>
        <w:tc>
          <w:tcPr>
            <w:tcW w:w="2100" w:type="dxa"/>
          </w:tcPr>
          <w:p>
            <w:pPr>
              <w:spacing w:line="320" w:lineRule="exact"/>
              <w:jc w:val="center"/>
              <w:rPr>
                <w:rFonts w:ascii="楷体" w:eastAsia="楷体" w:hAnsi="楷体" w:cs="楷体" w:hint="eastAsia"/>
              </w:rPr>
            </w:pPr>
            <w:r>
              <w:rPr>
                <w:rFonts w:ascii="楷体" w:eastAsia="楷体" w:hAnsi="楷体" w:cs="楷体" w:hint="eastAsia"/>
                <w:sz w:val="24"/>
                <w:szCs w:val="24"/>
              </w:rPr>
              <w:t xml:space="preserve">销售</w:t>
            </w:r>
            <w:r>
              <w:rPr>
                <w:rFonts w:ascii="楷体" w:eastAsia="楷体" w:hAnsi="楷体" w:cs="楷体" w:hint="eastAsia"/>
                <w:sz w:val="24"/>
                <w:szCs w:val="24"/>
                <w:lang w:eastAsia="zh-CN"/>
              </w:rPr>
              <w:t xml:space="preserve">名</w:t>
            </w:r>
            <w:r>
              <w:rPr>
                <w:rFonts w:ascii="楷体" w:eastAsia="楷体" w:hAnsi="楷体" w:cs="楷体" w:hint="eastAsia"/>
                <w:sz w:val="24"/>
                <w:szCs w:val="24"/>
              </w:rPr>
              <w:t xml:space="preserve">称</w:t>
            </w:r>
          </w:p>
        </w:tc>
        <w:tc>
          <w:tcPr>
            <w:tcW w:w="1470" w:type="dxa"/>
          </w:tcPr>
          <w:p>
            <w:pPr>
              <w:jc w:val="center"/>
              <w:rPr>
                <w:rFonts w:ascii="楷体" w:eastAsia="楷体" w:hAnsi="楷体" w:cs="楷体" w:hint="eastAsia"/>
              </w:rPr>
            </w:pPr>
            <w:r>
              <w:rPr>
                <w:rFonts w:ascii="楷体" w:eastAsia="楷体" w:hAnsi="楷体" w:cs="楷体" w:hint="eastAsia"/>
                <w:sz w:val="24"/>
                <w:szCs w:val="24"/>
              </w:rPr>
              <w:t xml:space="preserve">单位净值</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累计单位净值</w:t>
            </w:r>
          </w:p>
        </w:tc>
        <w:tc>
          <w:tcPr>
            <w:tcW w:w="1876" w:type="dxa"/>
          </w:tcPr>
          <w:p>
            <w:pPr>
              <w:jc w:val="center"/>
              <w:rPr>
                <w:rFonts w:ascii="楷体" w:eastAsia="楷体" w:hAnsi="楷体" w:cs="楷体" w:hint="eastAsia"/>
              </w:rPr>
            </w:pPr>
            <w:r>
              <w:rPr>
                <w:rFonts w:ascii="楷体" w:eastAsia="楷体" w:hAnsi="楷体" w:cs="楷体" w:hint="eastAsia"/>
                <w:sz w:val="24"/>
                <w:szCs w:val="24"/>
              </w:rPr>
              <w:t xml:space="preserve">业绩比较基准（年化）</w:t>
            </w:r>
          </w:p>
        </w:tc>
      </w:tr>
      <w:tr>
        <w:tblPrEx>
          <w:tblW w:w="8621"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51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2025-06-30</w:t>
            </w:r>
          </w:p>
        </w:tc>
        <w:tc>
          <w:tcPr>
            <w:tcW w:w="210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苏银理财恒源封闭债权141期13月A</w:t>
            </w:r>
          </w:p>
        </w:tc>
        <w:tc>
          <w:tcPr>
            <w:tcW w:w="1470"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1.02144</w:t>
            </w:r>
          </w:p>
        </w:tc>
        <w:tc>
          <w:tcPr>
            <w:tcW w:w="1665"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1.02144</w:t>
            </w:r>
          </w:p>
        </w:tc>
        <w:tc>
          <w:tcPr>
            <w:tcW w:w="1876" w:type="dxa"/>
          </w:tcPr>
          <w:p>
            <w:pPr>
              <w:jc w:val="center"/>
              <w:rPr>
                <w:rFonts w:ascii="楷体" w:eastAsia="楷体" w:hAnsi="楷体" w:cs="楷体" w:hint="eastAsia"/>
                <w:sz w:val="24"/>
                <w:szCs w:val="24"/>
              </w:rPr>
            </w:pPr>
            <w:r>
              <w:rPr>
                <w:rFonts w:ascii="楷体" w:eastAsia="楷体" w:hAnsi="楷体" w:cs="楷体" w:hint="eastAsia"/>
                <w:sz w:val="24"/>
                <w:szCs w:val="24"/>
              </w:rPr>
              <w:t xml:space="preserve">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4"/>
                <w:u w:val="none"/>
              </w:rPr>
              <w:t xml:space="preserve">2025-06-30</w:t>
            </w:r>
          </w:p>
        </w:tc>
        <w:tc>
          <w:tcPr>
            <w:tcW w:w="2100" w:type="dxa"/>
          </w:tcPr>
          <w:p>
            <w:pPr>
              <w:pageBreakBefore w:val="0"/>
              <w:jc w:val="center"/>
              <w:textAlignment w:val="auto"/>
            </w:pPr>
            <w:r>
              <w:rPr>
                <w:rFonts w:ascii="楷体" w:eastAsia="楷体" w:hAnsi="楷体" w:cs="楷体"/>
                <w:b w:val="0"/>
                <w:i w:val="0"/>
                <w:strike w:val="0"/>
                <w:color w:val="auto"/>
                <w:position w:val="-1"/>
                <w:sz w:val="24"/>
                <w:u w:val="none"/>
              </w:rPr>
              <w:t xml:space="preserve">苏银理财恒源封闭债权141期13月B</w:t>
            </w:r>
          </w:p>
        </w:tc>
        <w:tc>
          <w:tcPr>
            <w:tcW w:w="1470" w:type="dxa"/>
          </w:tcPr>
          <w:p>
            <w:pPr>
              <w:pageBreakBefore w:val="0"/>
              <w:jc w:val="center"/>
              <w:textAlignment w:val="auto"/>
            </w:pPr>
            <w:r>
              <w:rPr>
                <w:rFonts w:ascii="楷体" w:eastAsia="楷体" w:hAnsi="楷体" w:cs="楷体"/>
                <w:b w:val="0"/>
                <w:i w:val="0"/>
                <w:strike w:val="0"/>
                <w:color w:val="auto"/>
                <w:position w:val="-1"/>
                <w:sz w:val="24"/>
                <w:u w:val="none"/>
              </w:rPr>
              <w:t xml:space="preserve">1.020805</w:t>
            </w:r>
          </w:p>
        </w:tc>
        <w:tc>
          <w:tcPr>
            <w:tcW w:w="1665" w:type="dxa"/>
          </w:tcPr>
          <w:p>
            <w:pPr>
              <w:pageBreakBefore w:val="0"/>
              <w:jc w:val="center"/>
              <w:textAlignment w:val="auto"/>
            </w:pPr>
            <w:r>
              <w:rPr>
                <w:rFonts w:ascii="楷体" w:eastAsia="楷体" w:hAnsi="楷体" w:cs="楷体"/>
                <w:b w:val="0"/>
                <w:i w:val="0"/>
                <w:strike w:val="0"/>
                <w:color w:val="auto"/>
                <w:position w:val="-1"/>
                <w:sz w:val="24"/>
                <w:u w:val="none"/>
              </w:rPr>
              <w:t xml:space="preserve">1.020805</w:t>
            </w:r>
          </w:p>
        </w:tc>
        <w:tc>
          <w:tcPr>
            <w:tcW w:w="1876" w:type="dxa"/>
          </w:tcPr>
          <w:p>
            <w:pPr>
              <w:pageBreakBefore w:val="0"/>
              <w:jc w:val="center"/>
              <w:textAlignment w:val="auto"/>
            </w:pPr>
            <w:r>
              <w:rPr>
                <w:rFonts w:ascii="楷体" w:eastAsia="楷体" w:hAnsi="楷体" w:cs="楷体"/>
                <w:b w:val="0"/>
                <w:i w:val="0"/>
                <w:strike w:val="0"/>
                <w:color w:val="auto"/>
                <w:position w:val="-1"/>
                <w:sz w:val="24"/>
                <w:u w:val="none"/>
              </w:rPr>
              <w:t xml:space="preserve">2.95%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4"/>
                <w:u w:val="none"/>
              </w:rPr>
              <w:t xml:space="preserve">2025-06-30</w:t>
            </w:r>
          </w:p>
        </w:tc>
        <w:tc>
          <w:tcPr>
            <w:tcW w:w="2100" w:type="dxa"/>
          </w:tcPr>
          <w:p>
            <w:pPr>
              <w:pageBreakBefore w:val="0"/>
              <w:jc w:val="center"/>
              <w:textAlignment w:val="auto"/>
            </w:pPr>
            <w:r>
              <w:rPr>
                <w:rFonts w:ascii="楷体" w:eastAsia="楷体" w:hAnsi="楷体" w:cs="楷体"/>
                <w:b w:val="0"/>
                <w:i w:val="0"/>
                <w:strike w:val="0"/>
                <w:color w:val="auto"/>
                <w:position w:val="-1"/>
                <w:sz w:val="24"/>
                <w:u w:val="none"/>
              </w:rPr>
              <w:t xml:space="preserve">苏银理财恒源封闭债权141期13月C</w:t>
            </w:r>
          </w:p>
        </w:tc>
        <w:tc>
          <w:tcPr>
            <w:tcW w:w="1470" w:type="dxa"/>
          </w:tcPr>
          <w:p>
            <w:pPr>
              <w:pageBreakBefore w:val="0"/>
              <w:jc w:val="center"/>
              <w:textAlignment w:val="auto"/>
            </w:pPr>
            <w:r>
              <w:rPr>
                <w:rFonts w:ascii="楷体" w:eastAsia="楷体" w:hAnsi="楷体" w:cs="楷体"/>
                <w:b w:val="0"/>
                <w:i w:val="0"/>
                <w:strike w:val="0"/>
                <w:color w:val="auto"/>
                <w:position w:val="-1"/>
                <w:sz w:val="24"/>
                <w:u w:val="none"/>
              </w:rPr>
              <w:t xml:space="preserve">1.019479</w:t>
            </w:r>
          </w:p>
        </w:tc>
        <w:tc>
          <w:tcPr>
            <w:tcW w:w="1665" w:type="dxa"/>
          </w:tcPr>
          <w:p>
            <w:pPr>
              <w:pageBreakBefore w:val="0"/>
              <w:jc w:val="center"/>
              <w:textAlignment w:val="auto"/>
            </w:pPr>
            <w:r>
              <w:rPr>
                <w:rFonts w:ascii="楷体" w:eastAsia="楷体" w:hAnsi="楷体" w:cs="楷体"/>
                <w:b w:val="0"/>
                <w:i w:val="0"/>
                <w:strike w:val="0"/>
                <w:color w:val="auto"/>
                <w:position w:val="-1"/>
                <w:sz w:val="24"/>
                <w:u w:val="none"/>
              </w:rPr>
              <w:t xml:space="preserve">1.019479</w:t>
            </w:r>
          </w:p>
        </w:tc>
        <w:tc>
          <w:tcPr>
            <w:tcW w:w="1876" w:type="dxa"/>
          </w:tcPr>
          <w:p>
            <w:pPr>
              <w:pageBreakBefore w:val="0"/>
              <w:jc w:val="center"/>
              <w:textAlignment w:val="auto"/>
            </w:pPr>
            <w:r>
              <w:rPr>
                <w:rFonts w:ascii="楷体" w:eastAsia="楷体" w:hAnsi="楷体" w:cs="楷体"/>
                <w:b w:val="0"/>
                <w:i w:val="0"/>
                <w:strike w:val="0"/>
                <w:color w:val="auto"/>
                <w:position w:val="-1"/>
                <w:sz w:val="24"/>
                <w:u w:val="none"/>
              </w:rPr>
              <w:t xml:space="preserve">2.75%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4"/>
                <w:u w:val="none"/>
              </w:rPr>
              <w:t xml:space="preserve">2025-06-30</w:t>
            </w:r>
          </w:p>
        </w:tc>
        <w:tc>
          <w:tcPr>
            <w:tcW w:w="2100" w:type="dxa"/>
          </w:tcPr>
          <w:p>
            <w:pPr>
              <w:pageBreakBefore w:val="0"/>
              <w:jc w:val="center"/>
              <w:textAlignment w:val="auto"/>
            </w:pPr>
            <w:r>
              <w:rPr>
                <w:rFonts w:ascii="楷体" w:eastAsia="楷体" w:hAnsi="楷体" w:cs="楷体"/>
                <w:b w:val="0"/>
                <w:i w:val="0"/>
                <w:strike w:val="0"/>
                <w:color w:val="auto"/>
                <w:position w:val="-1"/>
                <w:sz w:val="24"/>
                <w:u w:val="none"/>
              </w:rPr>
              <w:t xml:space="preserve">苏银理财恒源封闭债权141期13月D</w:t>
            </w:r>
          </w:p>
        </w:tc>
        <w:tc>
          <w:tcPr>
            <w:tcW w:w="1470" w:type="dxa"/>
          </w:tcPr>
          <w:p>
            <w:pPr>
              <w:pageBreakBefore w:val="0"/>
              <w:jc w:val="center"/>
              <w:textAlignment w:val="auto"/>
            </w:pPr>
            <w:r>
              <w:rPr>
                <w:rFonts w:ascii="楷体" w:eastAsia="楷体" w:hAnsi="楷体" w:cs="楷体"/>
                <w:b w:val="0"/>
                <w:i w:val="0"/>
                <w:strike w:val="0"/>
                <w:color w:val="auto"/>
                <w:position w:val="-1"/>
                <w:sz w:val="24"/>
                <w:u w:val="none"/>
              </w:rPr>
              <w:t xml:space="preserve">1.021703</w:t>
            </w:r>
          </w:p>
        </w:tc>
        <w:tc>
          <w:tcPr>
            <w:tcW w:w="1665" w:type="dxa"/>
          </w:tcPr>
          <w:p>
            <w:pPr>
              <w:pageBreakBefore w:val="0"/>
              <w:jc w:val="center"/>
              <w:textAlignment w:val="auto"/>
            </w:pPr>
            <w:r>
              <w:rPr>
                <w:rFonts w:ascii="楷体" w:eastAsia="楷体" w:hAnsi="楷体" w:cs="楷体"/>
                <w:b w:val="0"/>
                <w:i w:val="0"/>
                <w:strike w:val="0"/>
                <w:color w:val="auto"/>
                <w:position w:val="-1"/>
                <w:sz w:val="24"/>
                <w:u w:val="none"/>
              </w:rPr>
              <w:t xml:space="preserve">1.021703</w:t>
            </w:r>
          </w:p>
        </w:tc>
        <w:tc>
          <w:tcPr>
            <w:tcW w:w="1876" w:type="dxa"/>
          </w:tcPr>
          <w:p>
            <w:pPr>
              <w:pageBreakBefore w:val="0"/>
              <w:jc w:val="center"/>
              <w:textAlignment w:val="auto"/>
            </w:pPr>
            <w:r>
              <w:rPr>
                <w:rFonts w:ascii="楷体" w:eastAsia="楷体" w:hAnsi="楷体" w:cs="楷体"/>
                <w:b w:val="0"/>
                <w:i w:val="0"/>
                <w:strike w:val="0"/>
                <w:color w:val="auto"/>
                <w:position w:val="-1"/>
                <w:sz w:val="24"/>
                <w:u w:val="none"/>
              </w:rPr>
              <w:t xml:space="preserve">3.05%</w:t>
            </w:r>
          </w:p>
        </w:tc>
      </w:tr>
      <w:tr>
        <w:trPr>
          <w:trHeight w:val="0"/>
        </w:trPr>
        <w:tc>
          <w:tcPr>
            <w:tcW w:w="1510" w:type="dxa"/>
          </w:tcPr>
          <w:p>
            <w:pPr>
              <w:pageBreakBefore w:val="0"/>
              <w:jc w:val="center"/>
              <w:textAlignment w:val="auto"/>
            </w:pPr>
            <w:r>
              <w:rPr>
                <w:rFonts w:ascii="楷体" w:eastAsia="楷体" w:hAnsi="楷体" w:cs="楷体"/>
                <w:b w:val="0"/>
                <w:i w:val="0"/>
                <w:strike w:val="0"/>
                <w:color w:val="auto"/>
                <w:position w:val="-1"/>
                <w:sz w:val="24"/>
                <w:u w:val="none"/>
              </w:rPr>
              <w:t xml:space="preserve">2025-06-30</w:t>
            </w:r>
          </w:p>
        </w:tc>
        <w:tc>
          <w:tcPr>
            <w:tcW w:w="2100" w:type="dxa"/>
          </w:tcPr>
          <w:p>
            <w:pPr>
              <w:pageBreakBefore w:val="0"/>
              <w:jc w:val="center"/>
              <w:textAlignment w:val="auto"/>
            </w:pPr>
            <w:r>
              <w:rPr>
                <w:rFonts w:ascii="楷体" w:eastAsia="楷体" w:hAnsi="楷体" w:cs="楷体"/>
                <w:b w:val="0"/>
                <w:i w:val="0"/>
                <w:strike w:val="0"/>
                <w:color w:val="auto"/>
                <w:position w:val="-1"/>
                <w:sz w:val="24"/>
                <w:u w:val="none"/>
              </w:rPr>
              <w:t xml:space="preserve">苏银理财恒源封闭债权141期13月E</w:t>
            </w:r>
          </w:p>
        </w:tc>
        <w:tc>
          <w:tcPr>
            <w:tcW w:w="1470" w:type="dxa"/>
          </w:tcPr>
          <w:p>
            <w:pPr>
              <w:pageBreakBefore w:val="0"/>
              <w:jc w:val="center"/>
              <w:textAlignment w:val="auto"/>
            </w:pPr>
            <w:r>
              <w:rPr>
                <w:rFonts w:ascii="楷体" w:eastAsia="楷体" w:hAnsi="楷体" w:cs="楷体"/>
                <w:b w:val="0"/>
                <w:i w:val="0"/>
                <w:strike w:val="0"/>
                <w:color w:val="auto"/>
                <w:position w:val="-1"/>
                <w:sz w:val="24"/>
                <w:u w:val="none"/>
              </w:rPr>
              <w:t xml:space="preserve">1.021311</w:t>
            </w:r>
          </w:p>
        </w:tc>
        <w:tc>
          <w:tcPr>
            <w:tcW w:w="1665" w:type="dxa"/>
          </w:tcPr>
          <w:p>
            <w:pPr>
              <w:pageBreakBefore w:val="0"/>
              <w:jc w:val="center"/>
              <w:textAlignment w:val="auto"/>
            </w:pPr>
            <w:r>
              <w:rPr>
                <w:rFonts w:ascii="楷体" w:eastAsia="楷体" w:hAnsi="楷体" w:cs="楷体"/>
                <w:b w:val="0"/>
                <w:i w:val="0"/>
                <w:strike w:val="0"/>
                <w:color w:val="auto"/>
                <w:position w:val="-1"/>
                <w:sz w:val="24"/>
                <w:u w:val="none"/>
              </w:rPr>
              <w:t xml:space="preserve">1.021311</w:t>
            </w:r>
          </w:p>
        </w:tc>
        <w:tc>
          <w:tcPr>
            <w:tcW w:w="1876" w:type="dxa"/>
          </w:tcPr>
          <w:p>
            <w:pPr>
              <w:pageBreakBefore w:val="0"/>
              <w:jc w:val="center"/>
              <w:textAlignment w:val="auto"/>
            </w:pPr>
            <w:r>
              <w:rPr>
                <w:rFonts w:ascii="楷体" w:eastAsia="楷体" w:hAnsi="楷体" w:cs="楷体"/>
                <w:b w:val="0"/>
                <w:i w:val="0"/>
                <w:strike w:val="0"/>
                <w:color w:val="auto"/>
                <w:position w:val="-1"/>
                <w:sz w:val="24"/>
                <w:u w:val="none"/>
              </w:rPr>
              <w:t xml:space="preserve">2.95%</w:t>
            </w:r>
          </w:p>
        </w:tc>
      </w:tr>
    </w:tbl>
    <w:p>
      <w:pPr>
        <w:rPr>
          <w:rFonts w:ascii="楷体" w:eastAsia="楷体" w:hAnsi="楷体" w:cs="楷体" w:hint="eastAsia"/>
        </w:rPr>
      </w:pPr>
    </w:p>
    <w:p>
      <w:pPr>
        <w:rPr>
          <w:rFonts w:ascii="楷体" w:eastAsia="楷体" w:hAnsi="楷体" w:cs="楷体" w:hint="eastAsia"/>
          <w:sz w:val="21"/>
          <w:szCs w:val="21"/>
        </w:rPr>
      </w:pPr>
      <w:r>
        <w:rPr>
          <w:rFonts w:ascii="楷体" w:eastAsia="楷体" w:hAnsi="楷体" w:cs="楷体" w:hint="eastAsia"/>
          <w:bCs/>
          <w:kern w:val="0"/>
          <w:sz w:val="21"/>
          <w:szCs w:val="21"/>
        </w:rPr>
        <w:t xml:space="preserve">业绩比较基准不代表理财产品未来表现，不等于理财产品实际收益，不作为产品收益的业绩保证，投资者的实际收益由产品净值表现决定。管理人参考过往投资经验，依据资产投资收益水平，在产品说明书约定的投资范围和投资比例内，综合考虑收取的费用情况，模拟测算得出业绩比较基准。</w:t>
      </w:r>
    </w:p>
    <w:p>
      <w:pPr>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三、产品投资组合情况</w:t>
      </w:r>
    </w:p>
    <w:p>
      <w:pPr>
        <w:pStyle w:val="Heading3"/>
        <w:rPr>
          <w:rFonts w:ascii="楷体" w:eastAsia="楷体" w:hAnsi="楷体" w:cs="楷体" w:hint="eastAsia"/>
          <w:b w:val="0"/>
          <w:sz w:val="21"/>
        </w:rPr>
      </w:pPr>
      <w:r>
        <w:rPr>
          <w:rFonts w:ascii="楷体" w:eastAsia="楷体" w:hAnsi="楷体" w:cs="楷体" w:hint="eastAsia"/>
          <w:b w:val="0"/>
          <w:sz w:val="21"/>
        </w:rPr>
        <w:t xml:space="preserve">（一）期末理财产品持有资产情况</w:t>
      </w:r>
    </w:p>
    <w:tbl>
      <w:tblPr>
        <w:tblStyle w:val="TableNormal"/>
        <w:tblW w:w="83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727"/>
        <w:gridCol w:w="2413"/>
        <w:gridCol w:w="2610"/>
        <w:gridCol w:w="2550"/>
      </w:tblGrid>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序号</w:t>
            </w:r>
          </w:p>
        </w:tc>
        <w:tc>
          <w:tcPr>
            <w:tcW w:w="2413"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资产类别</w:t>
            </w:r>
          </w:p>
        </w:tc>
        <w:tc>
          <w:tcPr>
            <w:tcW w:w="2610" w:type="dxa"/>
            <w:vAlign w:val="center"/>
          </w:tcPr>
          <w:p>
            <w:pPr>
              <w:spacing w:line="320" w:lineRule="exact"/>
              <w:rPr>
                <w:rFonts w:ascii="楷体" w:eastAsia="楷体" w:hAnsi="楷体" w:cs="楷体" w:hint="eastAsia"/>
                <w:sz w:val="21"/>
                <w:szCs w:val="21"/>
              </w:rPr>
            </w:pPr>
            <w:r>
              <w:rPr>
                <w:rFonts w:ascii="楷体" w:eastAsia="楷体" w:hAnsi="楷体" w:cs="楷体" w:hint="eastAsia"/>
                <w:sz w:val="21"/>
                <w:szCs w:val="21"/>
              </w:rPr>
              <w:t xml:space="preserve">直接投资占总资产的比例</w:t>
            </w:r>
          </w:p>
        </w:tc>
        <w:tc>
          <w:tcPr>
            <w:tcW w:w="2550" w:type="dxa"/>
            <w:vAlign w:val="center"/>
          </w:tcPr>
          <w:p>
            <w:pPr>
              <w:spacing w:line="320" w:lineRule="exact"/>
              <w:jc w:val="center"/>
              <w:rPr>
                <w:rFonts w:ascii="楷体" w:eastAsia="楷体" w:hAnsi="楷体" w:cs="楷体" w:hint="eastAsia"/>
                <w:sz w:val="21"/>
                <w:szCs w:val="21"/>
              </w:rPr>
            </w:pPr>
            <w:r>
              <w:rPr>
                <w:rFonts w:ascii="楷体" w:eastAsia="楷体" w:hAnsi="楷体" w:cs="楷体" w:hint="eastAsia"/>
                <w:sz w:val="21"/>
                <w:szCs w:val="21"/>
              </w:rPr>
              <w:t xml:space="preserve">间接投资占总资产的比例</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727"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1</w:t>
            </w:r>
          </w:p>
        </w:tc>
        <w:tc>
          <w:tcPr>
            <w:tcW w:w="2413"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固定收益类</w:t>
            </w:r>
          </w:p>
        </w:tc>
        <w:tc>
          <w:tcPr>
            <w:tcW w:w="261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2.28%</w:t>
            </w:r>
          </w:p>
        </w:tc>
        <w:tc>
          <w:tcPr>
            <w:tcW w:w="2550" w:type="dxa"/>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97.72%</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2</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权益类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3</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商品及金融衍生品类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rPr>
          <w:trHeight w:hRule="exact" w:val="397"/>
          <w:jc w:val="center"/>
        </w:trPr>
        <w:tc>
          <w:tcPr>
            <w:tcW w:w="727"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4</w:t>
            </w:r>
          </w:p>
        </w:tc>
        <w:tc>
          <w:tcPr>
            <w:tcW w:w="2413"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混合类</w:t>
            </w:r>
          </w:p>
        </w:tc>
        <w:tc>
          <w:tcPr>
            <w:tcW w:w="261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c>
          <w:tcPr>
            <w:tcW w:w="2550" w:type="dxa"/>
            <w:vAlign w:val="center"/>
          </w:tcPr>
          <w:p>
            <w:pPr>
              <w:pageBreakBefore w:val="0"/>
              <w:jc w:val="center"/>
              <w:textAlignment w:val="auto"/>
            </w:pPr>
            <w:r>
              <w:rPr>
                <w:rFonts w:ascii="楷体" w:eastAsia="楷体" w:hAnsi="楷体" w:cs="楷体"/>
                <w:b w:val="0"/>
                <w:i w:val="0"/>
                <w:strike w:val="0"/>
                <w:color w:val="auto"/>
                <w:position w:val="-1"/>
                <w:sz w:val="24"/>
                <w:u w:val="none"/>
              </w:rPr>
              <w:t xml:space="preserve">-</w:t>
            </w:r>
          </w:p>
        </w:tc>
      </w:tr>
      <w:tr>
        <w:tblPrEx>
          <w:tblW w:w="83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hRule="exact" w:val="397"/>
          <w:jc w:val="center"/>
        </w:trPr>
        <w:tc>
          <w:tcPr>
            <w:tcW w:w="3140" w:type="dxa"/>
            <w:gridSpan w:val="2"/>
            <w:shd w:val="clear" w:color="auto" w:fill="auto"/>
            <w:vAlign w:val="center"/>
          </w:tcPr>
          <w:p>
            <w:pPr>
              <w:tabs>
                <w:tab w:val="center" w:pos="1522"/>
                <w:tab w:val="right" w:pos="2924"/>
              </w:tabs>
              <w:jc w:val="left"/>
              <w:rPr>
                <w:rFonts w:ascii="楷体" w:eastAsia="楷体" w:hAnsi="楷体" w:cs="楷体" w:hint="eastAsia"/>
                <w:sz w:val="24"/>
                <w:szCs w:val="24"/>
                <w:lang w:eastAsia="zh-CN"/>
              </w:rPr>
            </w:pPr>
            <w:r>
              <w:rPr>
                <w:rFonts w:ascii="楷体" w:eastAsia="楷体" w:hAnsi="楷体" w:cs="楷体" w:hint="eastAsia"/>
                <w:sz w:val="24"/>
                <w:szCs w:val="24"/>
                <w:lang w:eastAsia="zh-CN"/>
              </w:rPr>
              <w:tab/>
            </w:r>
            <w:r>
              <w:rPr>
                <w:rFonts w:ascii="楷体" w:eastAsia="楷体" w:hAnsi="楷体" w:cs="楷体" w:hint="eastAsia"/>
                <w:sz w:val="24"/>
                <w:szCs w:val="24"/>
              </w:rPr>
              <w:t xml:space="preserve">合计</w:t>
            </w:r>
            <w:r>
              <w:rPr>
                <w:rFonts w:ascii="楷体" w:eastAsia="楷体" w:hAnsi="楷体" w:cs="楷体" w:hint="eastAsia"/>
                <w:sz w:val="24"/>
                <w:szCs w:val="24"/>
                <w:lang w:eastAsia="zh-CN"/>
              </w:rPr>
              <w:tab/>
            </w:r>
          </w:p>
        </w:tc>
        <w:tc>
          <w:tcPr>
            <w:tcW w:w="2610" w:type="dxa"/>
            <w:shd w:val="clear" w:color="auto" w:fill="auto"/>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2.28%</w:t>
            </w:r>
          </w:p>
        </w:tc>
        <w:tc>
          <w:tcPr>
            <w:tcW w:w="2550" w:type="dxa"/>
            <w:shd w:val="clear" w:color="auto" w:fill="FFFFFF"/>
            <w:vAlign w:val="center"/>
          </w:tcPr>
          <w:p>
            <w:pPr>
              <w:jc w:val="center"/>
              <w:rPr>
                <w:rFonts w:ascii="楷体" w:eastAsia="楷体" w:hAnsi="楷体" w:cs="楷体" w:hint="eastAsia"/>
                <w:sz w:val="24"/>
                <w:szCs w:val="24"/>
              </w:rPr>
            </w:pPr>
            <w:r>
              <w:rPr>
                <w:rFonts w:ascii="楷体" w:eastAsia="楷体" w:hAnsi="楷体" w:cs="楷体" w:hint="eastAsia"/>
                <w:sz w:val="24"/>
                <w:szCs w:val="24"/>
              </w:rPr>
              <w:t xml:space="preserve">97.72%</w:t>
            </w:r>
          </w:p>
        </w:tc>
      </w:tr>
    </w:tbl>
    <w:p>
      <w:pPr>
        <w:rPr>
          <w:rFonts w:ascii="楷体" w:eastAsia="楷体" w:hAnsi="楷体" w:cs="楷体" w:hint="eastAsia"/>
        </w:rPr>
      </w:pPr>
    </w:p>
    <w:p>
      <w:pPr>
        <w:pStyle w:val="Heading3"/>
        <w:ind w:left="0"/>
        <w:rPr>
          <w:rFonts w:ascii="楷体" w:eastAsia="楷体" w:hAnsi="楷体" w:cs="楷体" w:hint="eastAsia"/>
          <w:b w:val="0"/>
          <w:sz w:val="21"/>
        </w:rPr>
      </w:pPr>
      <w:r>
        <w:rPr>
          <w:rFonts w:ascii="楷体" w:eastAsia="楷体" w:hAnsi="楷体" w:cs="楷体" w:hint="eastAsia"/>
          <w:b w:val="0"/>
          <w:sz w:val="21"/>
        </w:rPr>
        <w:t xml:space="preserve">（二）期末理财产品持有的前十项资产</w:t>
      </w:r>
    </w:p>
    <w:tbl>
      <w:tblPr>
        <w:tblStyle w:val="TableNormal"/>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873"/>
        <w:gridCol w:w="2434"/>
        <w:gridCol w:w="1275"/>
        <w:gridCol w:w="2235"/>
        <w:gridCol w:w="1800"/>
      </w:tblGrid>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序号</w:t>
            </w:r>
          </w:p>
        </w:tc>
        <w:tc>
          <w:tcPr>
            <w:tcW w:w="2434"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资产名称</w:t>
            </w:r>
          </w:p>
        </w:tc>
        <w:tc>
          <w:tcPr>
            <w:tcW w:w="127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资产类别</w:t>
            </w:r>
          </w:p>
        </w:tc>
        <w:tc>
          <w:tcPr>
            <w:tcW w:w="2235"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持有金额（元）</w:t>
            </w:r>
          </w:p>
        </w:tc>
        <w:tc>
          <w:tcPr>
            <w:tcW w:w="1800" w:type="dxa"/>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占产品总资产的比例（%）</w:t>
            </w:r>
          </w:p>
        </w:tc>
      </w:tr>
      <w:tr>
        <w:tblPrEx>
          <w:tblW w:w="8617"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283"/>
        </w:trPr>
        <w:tc>
          <w:tcPr>
            <w:tcW w:w="873" w:type="dxa"/>
          </w:tcPr>
          <w:p>
            <w:pPr>
              <w:jc w:val="center"/>
              <w:rPr>
                <w:rFonts w:ascii="楷体" w:eastAsia="楷体" w:hAnsi="楷体" w:cs="楷体" w:hint="eastAsia"/>
                <w:sz w:val="22"/>
              </w:rPr>
            </w:pPr>
            <w:r>
              <w:rPr>
                <w:rFonts w:ascii="楷体" w:eastAsia="楷体" w:hAnsi="楷体" w:cs="楷体" w:hint="eastAsia"/>
                <w:sz w:val="22"/>
              </w:rPr>
              <w:t xml:space="preserve">1</w:t>
            </w:r>
          </w:p>
        </w:tc>
        <w:tc>
          <w:tcPr>
            <w:tcW w:w="2434" w:type="dxa"/>
          </w:tcPr>
          <w:p>
            <w:pPr>
              <w:jc w:val="center"/>
              <w:rPr>
                <w:rFonts w:ascii="楷体" w:eastAsia="楷体" w:hAnsi="楷体" w:cs="楷体" w:hint="eastAsia"/>
                <w:sz w:val="22"/>
              </w:rPr>
            </w:pPr>
            <w:r>
              <w:rPr>
                <w:rFonts w:ascii="楷体" w:eastAsia="楷体" w:hAnsi="楷体" w:cs="楷体" w:hint="eastAsia"/>
                <w:sz w:val="22"/>
              </w:rPr>
              <w:t xml:space="preserve">国投泰康-沐远165号-蚂蚁花呗</w:t>
            </w:r>
          </w:p>
        </w:tc>
        <w:tc>
          <w:tcPr>
            <w:tcW w:w="1275" w:type="dxa"/>
          </w:tcPr>
          <w:p>
            <w:pPr>
              <w:jc w:val="center"/>
              <w:rPr>
                <w:rFonts w:ascii="楷体" w:eastAsia="楷体" w:hAnsi="楷体" w:cs="楷体" w:hint="eastAsia"/>
                <w:sz w:val="22"/>
              </w:rPr>
            </w:pPr>
            <w:r>
              <w:rPr>
                <w:rFonts w:ascii="楷体" w:eastAsia="楷体" w:hAnsi="楷体" w:cs="楷体" w:hint="eastAsia"/>
                <w:sz w:val="22"/>
              </w:rPr>
              <w:t xml:space="preserve">非标准化债权类资产</w:t>
            </w:r>
          </w:p>
        </w:tc>
        <w:tc>
          <w:tcPr>
            <w:tcW w:w="2235" w:type="dxa"/>
          </w:tcPr>
          <w:p>
            <w:pPr>
              <w:jc w:val="center"/>
              <w:rPr>
                <w:rFonts w:ascii="楷体" w:eastAsia="楷体" w:hAnsi="楷体" w:cs="楷体" w:hint="eastAsia"/>
                <w:sz w:val="22"/>
              </w:rPr>
            </w:pPr>
            <w:r>
              <w:rPr>
                <w:rFonts w:ascii="楷体" w:eastAsia="楷体" w:hAnsi="楷体" w:cs="楷体" w:hint="eastAsia"/>
                <w:sz w:val="22"/>
              </w:rPr>
              <w:t xml:space="preserve">71,339,780.82</w:t>
            </w:r>
          </w:p>
        </w:tc>
        <w:tc>
          <w:tcPr>
            <w:tcW w:w="1800" w:type="dxa"/>
          </w:tcPr>
          <w:p>
            <w:pPr>
              <w:jc w:val="center"/>
              <w:rPr>
                <w:rFonts w:ascii="楷体" w:eastAsia="楷体" w:hAnsi="楷体" w:cs="楷体" w:hint="eastAsia"/>
                <w:sz w:val="22"/>
              </w:rPr>
            </w:pPr>
            <w:r>
              <w:rPr>
                <w:rFonts w:ascii="楷体" w:eastAsia="楷体" w:hAnsi="楷体" w:cs="楷体" w:hint="eastAsia"/>
                <w:sz w:val="22"/>
              </w:rPr>
              <w:t xml:space="preserve">14.57%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2</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重庆信托-融源5号（第1期）-邗江国资</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44,552,807.69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9.10%</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3</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杭州工商信托-玖盈112号-慈溪国资</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40,041,563.34</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8.18%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4</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中诚信托-苏诚9号-淮阴产投-2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15,022,152.60</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3.07%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5</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现金及银行存款</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12,143,360.49</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2.48%</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6</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中信信托-苏赢43号-锡东新城-1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非标准化债权类资产</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10,155,377.17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2.07%</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7</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24特别国债06</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5,141,080.98</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1.05%</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8</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24华夏银行永续债01</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权益类投资</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3,145,980.53</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0.64%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9</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24徐州交通PPN002</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2,653,769.87</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0.54%</w:t>
            </w:r>
          </w:p>
        </w:tc>
      </w:tr>
      <w:tr>
        <w:trPr>
          <w:trHeight w:val="283"/>
        </w:trPr>
        <w:tc>
          <w:tcPr>
            <w:tcW w:w="873" w:type="dxa"/>
          </w:tcPr>
          <w:p>
            <w:pPr>
              <w:pageBreakBefore w:val="0"/>
              <w:jc w:val="center"/>
              <w:textAlignment w:val="auto"/>
            </w:pPr>
            <w:r>
              <w:rPr>
                <w:rFonts w:ascii="楷体" w:eastAsia="楷体" w:hAnsi="楷体" w:cs="楷体"/>
                <w:b w:val="0"/>
                <w:i w:val="0"/>
                <w:strike w:val="0"/>
                <w:color w:val="auto"/>
                <w:position w:val="-1"/>
                <w:sz w:val="22"/>
                <w:u w:val="none"/>
              </w:rPr>
              <w:t xml:space="preserve">10</w:t>
            </w:r>
          </w:p>
        </w:tc>
        <w:tc>
          <w:tcPr>
            <w:tcW w:w="2434" w:type="dxa"/>
          </w:tcPr>
          <w:p>
            <w:pPr>
              <w:pageBreakBefore w:val="0"/>
              <w:jc w:val="center"/>
              <w:textAlignment w:val="auto"/>
            </w:pPr>
            <w:r>
              <w:rPr>
                <w:rFonts w:ascii="楷体" w:eastAsia="楷体" w:hAnsi="楷体" w:cs="楷体"/>
                <w:b w:val="0"/>
                <w:i w:val="0"/>
                <w:strike w:val="0"/>
                <w:color w:val="auto"/>
                <w:position w:val="-1"/>
                <w:sz w:val="22"/>
                <w:u w:val="none"/>
              </w:rPr>
              <w:t xml:space="preserve">24两江产业MTN002(科创票据)</w:t>
            </w:r>
          </w:p>
        </w:tc>
        <w:tc>
          <w:tcPr>
            <w:tcW w:w="1275" w:type="dxa"/>
          </w:tcPr>
          <w:p>
            <w:pPr>
              <w:pageBreakBefore w:val="0"/>
              <w:jc w:val="center"/>
              <w:textAlignment w:val="auto"/>
            </w:pPr>
            <w:r>
              <w:rPr>
                <w:rFonts w:ascii="楷体" w:eastAsia="楷体" w:hAnsi="楷体" w:cs="楷体"/>
                <w:b w:val="0"/>
                <w:i w:val="0"/>
                <w:strike w:val="0"/>
                <w:color w:val="auto"/>
                <w:position w:val="-1"/>
                <w:sz w:val="22"/>
                <w:u w:val="none"/>
              </w:rPr>
              <w:t xml:space="preserve">债券</w:t>
            </w:r>
          </w:p>
        </w:tc>
        <w:tc>
          <w:tcPr>
            <w:tcW w:w="2235" w:type="dxa"/>
          </w:tcPr>
          <w:p>
            <w:pPr>
              <w:pageBreakBefore w:val="0"/>
              <w:jc w:val="center"/>
              <w:textAlignment w:val="auto"/>
            </w:pPr>
            <w:r>
              <w:rPr>
                <w:rFonts w:ascii="楷体" w:eastAsia="楷体" w:hAnsi="楷体" w:cs="楷体"/>
                <w:b w:val="0"/>
                <w:i w:val="0"/>
                <w:strike w:val="0"/>
                <w:color w:val="auto"/>
                <w:position w:val="-1"/>
                <w:sz w:val="22"/>
                <w:u w:val="none"/>
              </w:rPr>
              <w:t xml:space="preserve">2,349,696.72</w:t>
            </w:r>
          </w:p>
        </w:tc>
        <w:tc>
          <w:tcPr>
            <w:tcW w:w="1800" w:type="dxa"/>
          </w:tcPr>
          <w:p>
            <w:pPr>
              <w:pageBreakBefore w:val="0"/>
              <w:jc w:val="center"/>
              <w:textAlignment w:val="auto"/>
            </w:pPr>
            <w:r>
              <w:rPr>
                <w:rFonts w:ascii="楷体" w:eastAsia="楷体" w:hAnsi="楷体" w:cs="楷体"/>
                <w:b w:val="0"/>
                <w:i w:val="0"/>
                <w:strike w:val="0"/>
                <w:color w:val="auto"/>
                <w:position w:val="-1"/>
                <w:sz w:val="22"/>
                <w:u w:val="none"/>
              </w:rPr>
              <w:t xml:space="preserve">0.48%</w:t>
            </w:r>
          </w:p>
        </w:tc>
      </w:tr>
    </w:tbl>
    <w:p>
      <w:pPr>
        <w:pStyle w:val="标题4"/>
        <w:rPr>
          <w:rFonts w:ascii="楷体" w:eastAsia="楷体" w:hAnsi="楷体" w:cs="楷体" w:hint="eastAsia"/>
        </w:rPr>
      </w:pPr>
    </w:p>
    <w:p>
      <w:pPr>
        <w:pStyle w:val="Heading3"/>
        <w:numPr>
          <w:ilvl w:val="0"/>
          <w:numId w:val="3"/>
        </w:numPr>
        <w:rPr>
          <w:rFonts w:ascii="楷体" w:eastAsia="楷体" w:hAnsi="楷体" w:cs="楷体" w:hint="eastAsia"/>
          <w:b w:val="0"/>
          <w:sz w:val="21"/>
        </w:rPr>
      </w:pPr>
      <w:r>
        <w:rPr>
          <w:rFonts w:ascii="楷体" w:eastAsia="楷体" w:hAnsi="楷体" w:cs="楷体" w:hint="eastAsia"/>
          <w:b w:val="0"/>
          <w:sz w:val="21"/>
        </w:rPr>
        <w:t xml:space="preserve">非标资产情况</w:t>
      </w:r>
    </w:p>
    <w:p>
      <w:pPr>
        <w:ind w:firstLine="220" w:firstLineChars="100"/>
        <w:rPr>
          <w:rFonts w:ascii="楷体" w:eastAsia="楷体" w:hAnsi="楷体" w:cs="楷体" w:hint="eastAsia"/>
        </w:rPr>
      </w:pPr>
      <w:r>
        <w:rPr>
          <w:rFonts w:ascii="楷体" w:eastAsia="楷体" w:hAnsi="楷体" w:cs="楷体" w:hint="eastAsia"/>
          <w:sz w:val="22"/>
          <w:szCs w:val="24"/>
        </w:rPr>
        <w:t xml:space="preserve">1）非标资产投资情况</w:t>
      </w:r>
    </w:p>
    <w:tbl>
      <w:tblPr>
        <w:tblStyle w:val="TableNormal"/>
        <w:tblW w:w="8811" w:type="dxa"/>
        <w:tblInd w:w="0" w:type="dxa"/>
        <w:tblLayout w:type="fixed"/>
        <w:tblCellMar>
          <w:top w:w="0" w:type="dxa"/>
          <w:left w:w="108" w:type="dxa"/>
          <w:bottom w:w="0" w:type="dxa"/>
          <w:right w:w="108" w:type="dxa"/>
        </w:tblCellMar>
        <w:tblLook w:firstRow="0" w:lastRow="0" w:firstColumn="0" w:lastColumn="0" w:noHBand="1" w:noVBand="1"/>
      </w:tblPr>
      <w:tblGrid>
        <w:gridCol w:w="1401"/>
        <w:gridCol w:w="1410"/>
        <w:gridCol w:w="1245"/>
        <w:gridCol w:w="1485"/>
        <w:gridCol w:w="1335"/>
        <w:gridCol w:w="1080"/>
        <w:gridCol w:w="855"/>
      </w:tblGrid>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41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项目名称</w:t>
            </w:r>
          </w:p>
        </w:tc>
        <w:tc>
          <w:tcPr>
            <w:tcW w:w="124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剩余融资期限（天）</w:t>
            </w:r>
          </w:p>
        </w:tc>
        <w:tc>
          <w:tcPr>
            <w:tcW w:w="148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资产面值</w:t>
            </w:r>
          </w:p>
        </w:tc>
        <w:tc>
          <w:tcPr>
            <w:tcW w:w="133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到期分配方式</w:t>
            </w:r>
          </w:p>
        </w:tc>
        <w:tc>
          <w:tcPr>
            <w:tcW w:w="1080"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交易结构</w:t>
            </w:r>
          </w:p>
        </w:tc>
        <w:tc>
          <w:tcPr>
            <w:tcW w:w="855" w:type="dxa"/>
            <w:tcBorders>
              <w:top w:val="single" w:sz="4" w:space="0" w:color="auto"/>
              <w:left w:val="nil"/>
              <w:bottom w:val="single" w:sz="4" w:space="0" w:color="auto"/>
              <w:right w:val="single" w:sz="4" w:space="0" w:color="auto"/>
            </w:tcBorders>
            <w:vAlign w:val="center"/>
          </w:tcPr>
          <w:p>
            <w:pPr>
              <w:spacing w:line="320" w:lineRule="exact"/>
              <w:jc w:val="center"/>
              <w:rPr>
                <w:rFonts w:ascii="楷体" w:eastAsia="楷体" w:hAnsi="楷体" w:cs="楷体" w:hint="eastAsia"/>
                <w:sz w:val="24"/>
                <w:szCs w:val="24"/>
              </w:rPr>
            </w:pPr>
            <w:r>
              <w:rPr>
                <w:rFonts w:ascii="楷体" w:eastAsia="楷体" w:hAnsi="楷体" w:cs="楷体" w:hint="eastAsia"/>
                <w:sz w:val="24"/>
                <w:szCs w:val="24"/>
              </w:rPr>
              <w:t xml:space="preserve">风险状况</w:t>
            </w:r>
          </w:p>
        </w:tc>
      </w:tr>
      <w:tr>
        <w:tblPrEx>
          <w:tblW w:w="8811" w:type="dxa"/>
          <w:tblInd w:w="0" w:type="dxa"/>
          <w:tblLayout w:type="fixed"/>
          <w:tblCellMar>
            <w:top w:w="0" w:type="dxa"/>
            <w:left w:w="108" w:type="dxa"/>
            <w:bottom w:w="0" w:type="dxa"/>
            <w:right w:w="108" w:type="dxa"/>
          </w:tblCellMar>
        </w:tblPrEx>
        <w:trPr>
          <w:trHeight w:val="270"/>
        </w:trPr>
        <w:tc>
          <w:tcPr>
            <w:tcW w:w="1401"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蚂蚁个人消费授信付款资产借款人</w:t>
            </w:r>
          </w:p>
        </w:tc>
        <w:tc>
          <w:tcPr>
            <w:tcW w:w="141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国投泰康-沐远165号-蚂蚁花呗</w:t>
            </w:r>
          </w:p>
        </w:tc>
        <w:tc>
          <w:tcPr>
            <w:tcW w:w="124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146</w:t>
            </w:r>
          </w:p>
        </w:tc>
        <w:tc>
          <w:tcPr>
            <w:tcW w:w="148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highlight w:val="yellow"/>
              </w:rPr>
            </w:pPr>
            <w:r>
              <w:rPr>
                <w:rFonts w:ascii="楷体" w:eastAsia="楷体" w:hAnsi="楷体" w:cs="楷体" w:hint="eastAsia"/>
                <w:sz w:val="22"/>
              </w:rPr>
              <w:t xml:space="preserve">70,000,000.00</w:t>
            </w:r>
          </w:p>
        </w:tc>
        <w:tc>
          <w:tcPr>
            <w:tcW w:w="133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循环期不还本不付息，摊还期按月过手摊还本息</w:t>
            </w:r>
          </w:p>
        </w:tc>
        <w:tc>
          <w:tcPr>
            <w:tcW w:w="1080"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投资信托计划产品</w:t>
            </w:r>
          </w:p>
        </w:tc>
        <w:tc>
          <w:tcPr>
            <w:tcW w:w="855" w:type="dxa"/>
            <w:tcBorders>
              <w:top w:val="single" w:sz="4" w:space="0" w:color="auto"/>
              <w:left w:val="nil"/>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扬州市邗江国有资产经营有限公司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重庆信托-融源5号（第1期）-邗江国资</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44,500,000.00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慈溪市国有资产投资控股有限公司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杭州工商信托-玖盈112号-慈溪国资</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147</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40,000,000.00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中诚信托-苏诚9号-淮阴产投-2</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r>
        <w:trPr>
          <w:trHeight w:val="270"/>
        </w:trPr>
        <w:tc>
          <w:tcPr>
            <w:tcW w:w="1401"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无锡锡东新城城市发展集团有限公司</w:t>
            </w:r>
          </w:p>
        </w:tc>
        <w:tc>
          <w:tcPr>
            <w:tcW w:w="141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中信信托-苏赢43号-锡东新城-1</w:t>
            </w:r>
          </w:p>
        </w:tc>
        <w:tc>
          <w:tcPr>
            <w:tcW w:w="124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154</w:t>
            </w:r>
          </w:p>
        </w:tc>
        <w:tc>
          <w:tcPr>
            <w:tcW w:w="148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10,000,000.00</w:t>
            </w:r>
          </w:p>
        </w:tc>
        <w:tc>
          <w:tcPr>
            <w:tcW w:w="133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按季付息，到期一次性还本</w:t>
            </w:r>
          </w:p>
        </w:tc>
        <w:tc>
          <w:tcPr>
            <w:tcW w:w="1080"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投资信托计划产品</w:t>
            </w:r>
          </w:p>
        </w:tc>
        <w:tc>
          <w:tcPr>
            <w:tcW w:w="855" w:type="dxa"/>
            <w:tcBorders>
              <w:top w:val="single" w:sz="4" w:space="0" w:color="auto"/>
              <w:left w:val="nil"/>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正常</w:t>
            </w:r>
          </w:p>
        </w:tc>
      </w:tr>
    </w:tbl>
    <w:p>
      <w:pPr>
        <w:pStyle w:val="标题4"/>
        <w:rPr>
          <w:rFonts w:ascii="楷体" w:eastAsia="楷体" w:hAnsi="楷体" w:cs="楷体" w:hint="eastAsia"/>
        </w:rPr>
      </w:pPr>
    </w:p>
    <w:p>
      <w:pPr>
        <w:spacing w:line="320" w:lineRule="exact"/>
        <w:ind w:firstLine="220" w:firstLineChars="100"/>
        <w:rPr>
          <w:rFonts w:ascii="楷体" w:eastAsia="楷体" w:hAnsi="楷体" w:cs="楷体" w:hint="eastAsia"/>
        </w:rPr>
      </w:pPr>
      <w:r>
        <w:rPr>
          <w:rFonts w:ascii="楷体" w:eastAsia="楷体" w:hAnsi="楷体" w:cs="楷体" w:hint="eastAsia"/>
          <w:sz w:val="22"/>
          <w:szCs w:val="24"/>
        </w:rPr>
        <w:t xml:space="preserve">2）融资客户情况</w:t>
      </w:r>
    </w:p>
    <w:tbl>
      <w:tblPr>
        <w:tblStyle w:val="TableGrid"/>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Look w:firstRow="0" w:lastRow="0" w:firstColumn="0" w:lastColumn="0" w:noHBand="1" w:noVBand="1"/>
      </w:tblPr>
      <w:tblGrid>
        <w:gridCol w:w="1412"/>
        <w:gridCol w:w="1399"/>
        <w:gridCol w:w="1263"/>
        <w:gridCol w:w="4746"/>
      </w:tblGrid>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309"/>
        </w:trPr>
        <w:tc>
          <w:tcPr>
            <w:tcW w:w="1412"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融资客户</w:t>
            </w:r>
          </w:p>
        </w:tc>
        <w:tc>
          <w:tcPr>
            <w:tcW w:w="1399"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成立日期</w:t>
            </w:r>
          </w:p>
        </w:tc>
        <w:tc>
          <w:tcPr>
            <w:tcW w:w="1263"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注册资本（元）</w:t>
            </w:r>
          </w:p>
        </w:tc>
        <w:tc>
          <w:tcPr>
            <w:tcW w:w="4746" w:type="dxa"/>
            <w:tcBorders>
              <w:top w:val="single" w:sz="4" w:space="0" w:color="auto"/>
              <w:left w:val="single" w:sz="4" w:space="0" w:color="auto"/>
              <w:bottom w:val="single" w:sz="4" w:space="0" w:color="auto"/>
              <w:right w:val="single" w:sz="4" w:space="0" w:color="auto"/>
            </w:tcBorders>
          </w:tcPr>
          <w:p>
            <w:pPr>
              <w:pStyle w:val="标题4"/>
              <w:jc w:val="center"/>
              <w:rPr>
                <w:rFonts w:ascii="楷体" w:eastAsia="楷体" w:hAnsi="楷体" w:cs="楷体" w:hint="eastAsia"/>
                <w:sz w:val="24"/>
                <w:szCs w:val="24"/>
              </w:rPr>
            </w:pPr>
            <w:r>
              <w:rPr>
                <w:rFonts w:ascii="楷体" w:eastAsia="楷体" w:hAnsi="楷体" w:cs="楷体" w:hint="eastAsia"/>
                <w:sz w:val="24"/>
                <w:szCs w:val="24"/>
              </w:rPr>
              <w:t xml:space="preserve">经营范围</w:t>
            </w:r>
          </w:p>
        </w:tc>
      </w:tr>
      <w:tr>
        <w:tblPrEx>
          <w:tblW w:w="8820" w:type="dxa"/>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c>
          <w:tcPr>
            <w:tcW w:w="1412"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慈溪市国有资产投资控股有限公司</w:t>
            </w:r>
          </w:p>
        </w:tc>
        <w:tc>
          <w:tcPr>
            <w:tcW w:w="1399"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2003-06-25</w:t>
            </w:r>
          </w:p>
        </w:tc>
        <w:tc>
          <w:tcPr>
            <w:tcW w:w="1263"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800,000,000.00</w:t>
            </w:r>
          </w:p>
        </w:tc>
        <w:tc>
          <w:tcPr>
            <w:tcW w:w="4746" w:type="dxa"/>
            <w:tcBorders>
              <w:top w:val="single" w:sz="4" w:space="0" w:color="auto"/>
              <w:left w:val="single" w:sz="4" w:space="0" w:color="auto"/>
              <w:bottom w:val="single" w:sz="4" w:space="0" w:color="auto"/>
              <w:right w:val="single" w:sz="4" w:space="0" w:color="auto"/>
            </w:tcBorders>
          </w:tcPr>
          <w:p>
            <w:pPr>
              <w:jc w:val="center"/>
              <w:rPr>
                <w:rFonts w:ascii="楷体" w:eastAsia="楷体" w:hAnsi="楷体" w:cs="楷体" w:hint="eastAsia"/>
                <w:sz w:val="22"/>
                <w:szCs w:val="24"/>
              </w:rPr>
            </w:pPr>
            <w:r>
              <w:rPr>
                <w:rFonts w:ascii="楷体" w:eastAsia="楷体" w:hAnsi="楷体" w:cs="楷体" w:hint="eastAsia"/>
                <w:sz w:val="22"/>
              </w:rPr>
              <w:t xml:space="preserve">受慈溪市国有资产管理办公室委托、对所属国有资产投资、融资、经营、管理和监督(未经金融等监管部门批准不得从事吸收存款、融资担保、代客理财、向社会公众集(融)资等金融业务)。(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蚂蚁个人消费授信付款资产借款人</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扬州市邗江国有资产经营有限公司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2009-09-22</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9,510,310,000.00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国有资产经营管理及投资；农业、农村基础设施建设、投资；农田土地整理；农村环保工程施工；市政工程施工；生态旅游资源开发；棚户区（危旧房）改造、保障性安居工程建设、城乡住房建设。园林绿化工程施工；建筑材料销售；（依法须经批准的项目，经相关部门批准后方可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江苏淮阴城市产业投资集团有限公司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2016-05-17</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5,000,000,000.00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旅游业务；餐饮服务；建设工程施工；建设工程设计；建筑物拆除作业（爆破作业除外）；房地产开发经营；水产养殖；自来水生产与供应；城市生活垃圾经营性服务；餐厨垃圾处理（依法须经批准的项目，经相关部门批准后方可开展经营活动，具体经营项目以审批结果为准）一般项目：创业投资（限投资未上市企业）；游览景区管理；名胜风景区管理；物业管理；组织文化艺术交流活动；会议及展览服务；市政设施管理；土地整治服务；建筑材料销售；技术推广服务；园林绿化工程施工；土石方工程施工；城市绿化管理；工程管理服务；房屋拆迁服务；农业专业及辅助性活动；土地使用权租赁；工程技术服务（规划管理、勘察、设计、监理除外）；互联网数据服务；休闲观光活动；污水处理及其再生利用；水污染治理；水环境污染防治服务；停车场服务；企业管理；租赁服务（不含许可类租赁服务）；建筑工程机械与设备租赁；殡葬服务；殡葬设施经营；殡仪用品销售；谷物种植；豆类种植；薯类种植；蔬菜种植；食用菌种植；花卉种植；水果种植；坚果种植；中草药种植；草种植（除依法须经批准的项目外，凭营业执照依法自主开展经营活动）</w:t>
            </w:r>
          </w:p>
        </w:tc>
      </w:tr>
      <w:tr>
        <w:trPr>
          <w:trHeight w:val="0"/>
        </w:trPr>
        <w:tc>
          <w:tcPr>
            <w:tcW w:w="1412"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无锡锡东新城城市发展集团有限公司</w:t>
            </w:r>
          </w:p>
        </w:tc>
        <w:tc>
          <w:tcPr>
            <w:tcW w:w="1399"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2010-03-05</w:t>
            </w:r>
          </w:p>
        </w:tc>
        <w:tc>
          <w:tcPr>
            <w:tcW w:w="1263"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12,000,000,000.00</w:t>
            </w:r>
          </w:p>
        </w:tc>
        <w:tc>
          <w:tcPr>
            <w:tcW w:w="4746" w:type="dxa"/>
            <w:tcBorders>
              <w:top w:val="single" w:sz="4" w:space="0" w:color="auto"/>
              <w:left w:val="single" w:sz="4" w:space="0" w:color="auto"/>
              <w:bottom w:val="single" w:sz="4" w:space="0" w:color="auto"/>
              <w:right w:val="single" w:sz="4" w:space="0" w:color="auto"/>
            </w:tcBorders>
          </w:tcPr>
          <w:p>
            <w:pPr>
              <w:pageBreakBefore w:val="0"/>
              <w:jc w:val="center"/>
              <w:textAlignment w:val="auto"/>
            </w:pPr>
            <w:r>
              <w:rPr>
                <w:rFonts w:ascii="楷体" w:eastAsia="楷体" w:hAnsi="楷体" w:cs="楷体"/>
                <w:b w:val="0"/>
                <w:i w:val="0"/>
                <w:strike w:val="0"/>
                <w:color w:val="auto"/>
                <w:position w:val="-1"/>
                <w:sz w:val="22"/>
                <w:u w:val="none"/>
              </w:rPr>
              <w:t xml:space="preserve">许可项目：建设工程施工；房屋建筑和市政基础设施项目工程总承包（依法须经批准的项目，经相关部门批准后方可开展经营活动，具体经营项目以审批结果为准）一般项目：货物进出口；技术进出口；进出口代理；食用农产品批发；建筑材料销售；金属材料销售；环境保护专用设备销售；机械设备销售；生物基材料销售；电子专用材料销售；电子专用设备销售；园区管理服务；以自有资金从事投资活动；创业空间服务；市政设施管理；园林绿化工程施工；土石方工程施工；房屋拆迁服务；土地整治服务；土地使用权租赁；工程管理服务；城市绿化管理；城市公园管理；城乡市容管理；集贸市场管理服务；商业综合体管理服务；物业管理；停车场服务；水污染治理；水环境污染防治服务；土壤污染治理与修复服务；土壤环境污染防治服务；租赁服务（不含许可类租赁服务）；非居住房地产租赁；信息咨询服务（不含许可类信息咨询服务）；企业管理；企业管理咨询；商务代理代办服务；会议及展览服务；休闲观光活动；农村民间工艺及制品、休闲农业和乡村旅游资源的开发经营；初级农产品收购；树木种植经营；技术服务、技术开发、技术咨询、技术交流、技术转让、技术推广；技术推广服务（除依法须经批准的项目外，凭营业执照依法自主开展经营活动）</w:t>
            </w:r>
          </w:p>
        </w:tc>
      </w:tr>
    </w:tbl>
    <w:p>
      <w:pPr>
        <w:pStyle w:val="标题4"/>
        <w:rPr>
          <w:rFonts w:ascii="楷体" w:eastAsia="楷体" w:hAnsi="楷体" w:cs="楷体" w:hint="eastAsia"/>
        </w:rPr>
      </w:pPr>
    </w:p>
    <w:p>
      <w:pPr>
        <w:pStyle w:val="Heading3"/>
        <w:rPr>
          <w:rFonts w:ascii="楷体" w:eastAsia="楷体" w:hAnsi="楷体" w:cs="楷体" w:hint="eastAsia"/>
          <w:b w:val="0"/>
          <w:sz w:val="21"/>
        </w:rPr>
      </w:pPr>
      <w:r>
        <w:rPr>
          <w:rFonts w:ascii="楷体" w:eastAsia="楷体" w:hAnsi="楷体" w:cs="楷体" w:hint="eastAsia"/>
          <w:b w:val="0"/>
          <w:sz w:val="21"/>
        </w:rPr>
        <w:t xml:space="preserve">（四）关联交易情况</w:t>
      </w:r>
    </w:p>
    <w:p>
      <w:pPr>
        <w:spacing w:line="320" w:lineRule="exact"/>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1）报告期内投资于关联方发行的证券或其他金融工具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65"/>
        <w:gridCol w:w="1440"/>
        <w:gridCol w:w="1425"/>
        <w:gridCol w:w="2115"/>
        <w:gridCol w:w="2176"/>
      </w:tblGrid>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11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6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1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ind w:firstLine="220" w:firstLineChars="100"/>
        <w:rPr>
          <w:rFonts w:ascii="楷体" w:eastAsia="楷体" w:hAnsi="楷体" w:cs="楷体" w:hint="eastAsia"/>
        </w:rPr>
      </w:pPr>
      <w:r>
        <w:rPr>
          <w:rFonts w:ascii="楷体" w:eastAsia="楷体" w:hAnsi="楷体" w:cs="楷体" w:hint="eastAsia"/>
          <w:sz w:val="22"/>
          <w:szCs w:val="24"/>
        </w:rPr>
        <w:t xml:space="preserve">2）报告期内投资于关联方承销的证券或其他金融工具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425"/>
        <w:gridCol w:w="2085"/>
        <w:gridCol w:w="2191"/>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证券代码</w:t>
            </w:r>
          </w:p>
        </w:tc>
        <w:tc>
          <w:tcPr>
            <w:tcW w:w="142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证券简称</w:t>
            </w:r>
          </w:p>
        </w:tc>
        <w:tc>
          <w:tcPr>
            <w:tcW w:w="208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报告期投资的证券数量（张）</w:t>
            </w:r>
          </w:p>
        </w:tc>
        <w:tc>
          <w:tcPr>
            <w:tcW w:w="219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2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08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9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报告期内投资于关联方管理的资管产品或其他金融工具</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480"/>
        <w:gridCol w:w="1440"/>
        <w:gridCol w:w="1395"/>
        <w:gridCol w:w="2130"/>
        <w:gridCol w:w="2176"/>
      </w:tblGrid>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14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金融工具代码</w:t>
            </w:r>
          </w:p>
        </w:tc>
        <w:tc>
          <w:tcPr>
            <w:tcW w:w="1395"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金融工具名称</w:t>
            </w:r>
          </w:p>
        </w:tc>
        <w:tc>
          <w:tcPr>
            <w:tcW w:w="21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报告期投资的证券数量</w:t>
            </w:r>
          </w:p>
        </w:tc>
        <w:tc>
          <w:tcPr>
            <w:tcW w:w="217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报告期投资的证券金额（元）</w:t>
            </w:r>
          </w:p>
        </w:tc>
      </w:tr>
      <w:tr>
        <w:tblPrEx>
          <w:tblW w:w="8621" w:type="dxa"/>
          <w:tblInd w:w="0" w:type="dxa"/>
          <w:tblLayout w:type="fixed"/>
          <w:tblCellMar>
            <w:top w:w="0" w:type="dxa"/>
            <w:left w:w="108" w:type="dxa"/>
            <w:bottom w:w="0" w:type="dxa"/>
            <w:right w:w="108" w:type="dxa"/>
          </w:tblCellMar>
        </w:tblPrEx>
        <w:trPr>
          <w:trHeight w:val="283"/>
        </w:trPr>
        <w:tc>
          <w:tcPr>
            <w:tcW w:w="148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4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1395"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217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rPr>
          <w:rFonts w:ascii="楷体" w:eastAsia="楷体" w:hAnsi="楷体" w:cs="楷体" w:hint="eastAsia"/>
          <w:sz w:val="22"/>
          <w:szCs w:val="24"/>
        </w:rPr>
      </w:pPr>
    </w:p>
    <w:p>
      <w:pPr>
        <w:numPr>
          <w:ilvl w:val="0"/>
          <w:numId w:val="4"/>
        </w:numPr>
        <w:ind w:firstLine="220" w:firstLineChars="100"/>
        <w:rPr>
          <w:rFonts w:ascii="楷体" w:eastAsia="楷体" w:hAnsi="楷体" w:cs="楷体" w:hint="eastAsia"/>
          <w:sz w:val="22"/>
          <w:szCs w:val="24"/>
        </w:rPr>
      </w:pPr>
      <w:r>
        <w:rPr>
          <w:rFonts w:ascii="楷体" w:eastAsia="楷体" w:hAnsi="楷体" w:cs="楷体" w:hint="eastAsia"/>
          <w:sz w:val="22"/>
          <w:szCs w:val="24"/>
        </w:rPr>
        <w:t xml:space="preserve">报告期内的其他关联交易</w:t>
      </w:r>
    </w:p>
    <w:tbl>
      <w:tblPr>
        <w:tblStyle w:val="TableNormal"/>
        <w:tblW w:w="8621" w:type="dxa"/>
        <w:tblInd w:w="0" w:type="dxa"/>
        <w:tblLayout w:type="fixed"/>
        <w:tblCellMar>
          <w:top w:w="0" w:type="dxa"/>
          <w:left w:w="108" w:type="dxa"/>
          <w:bottom w:w="0" w:type="dxa"/>
          <w:right w:w="108" w:type="dxa"/>
        </w:tblCellMar>
        <w:tblLook w:firstRow="0" w:lastRow="0" w:firstColumn="0" w:lastColumn="0" w:noHBand="1" w:noVBand="1"/>
      </w:tblPr>
      <w:tblGrid>
        <w:gridCol w:w="1930"/>
        <w:gridCol w:w="3540"/>
        <w:gridCol w:w="3151"/>
      </w:tblGrid>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交易类型</w:t>
            </w:r>
          </w:p>
        </w:tc>
        <w:tc>
          <w:tcPr>
            <w:tcW w:w="3540"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关联方名称</w:t>
            </w:r>
          </w:p>
        </w:tc>
        <w:tc>
          <w:tcPr>
            <w:tcW w:w="3151"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关联交易金额（元）</w:t>
            </w:r>
          </w:p>
        </w:tc>
      </w:tr>
      <w:tr>
        <w:tblPrEx>
          <w:tblW w:w="8621" w:type="dxa"/>
          <w:tblInd w:w="0" w:type="dxa"/>
          <w:tblLayout w:type="fixed"/>
          <w:tblCellMar>
            <w:top w:w="0" w:type="dxa"/>
            <w:left w:w="108" w:type="dxa"/>
            <w:bottom w:w="0" w:type="dxa"/>
            <w:right w:w="108" w:type="dxa"/>
          </w:tblCellMar>
        </w:tblPrEx>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代销费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90,987.63</w:t>
            </w:r>
          </w:p>
        </w:tc>
      </w:tr>
      <w:tr>
        <w:trPr>
          <w:trHeight w:val="283"/>
        </w:trPr>
        <w:tc>
          <w:tcPr>
            <w:tcW w:w="193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托管费</w:t>
            </w:r>
          </w:p>
        </w:tc>
        <w:tc>
          <w:tcPr>
            <w:tcW w:w="3540"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江苏银行股份有限公司</w:t>
            </w:r>
          </w:p>
        </w:tc>
        <w:tc>
          <w:tcPr>
            <w:tcW w:w="3151" w:type="dxa"/>
            <w:tcBorders>
              <w:top w:val="single" w:sz="4" w:space="0" w:color="000000"/>
              <w:left w:val="single" w:sz="4" w:space="0" w:color="000000"/>
              <w:bottom w:val="single" w:sz="4" w:space="0" w:color="000000"/>
              <w:right w:val="single" w:sz="4" w:space="0" w:color="000000"/>
            </w:tcBorders>
            <w:shd w:val="clear" w:color="auto" w:fill="auto"/>
          </w:tcPr>
          <w:p>
            <w:pPr>
              <w:pageBreakBefore w:val="0"/>
              <w:jc w:val="center"/>
              <w:textAlignment w:val="auto"/>
            </w:pPr>
            <w:r>
              <w:rPr>
                <w:rFonts w:ascii="楷体" w:eastAsia="楷体" w:hAnsi="楷体" w:cs="楷体"/>
                <w:b w:val="0"/>
                <w:i w:val="0"/>
                <w:strike w:val="0"/>
                <w:color w:val="auto"/>
                <w:position w:val="-1"/>
                <w:sz w:val="22"/>
                <w:u w:val="none"/>
              </w:rPr>
              <w:t xml:space="preserve">22,886.12</w:t>
            </w:r>
          </w:p>
        </w:tc>
      </w:tr>
    </w:tbl>
    <w:p>
      <w:pPr>
        <w:pStyle w:val="标题4"/>
        <w:rPr>
          <w:rFonts w:ascii="楷体" w:eastAsia="楷体" w:hAnsi="楷体" w:cs="楷体" w:hint="eastAsia"/>
          <w:sz w:val="21"/>
          <w:szCs w:val="21"/>
        </w:rPr>
      </w:pPr>
      <w:r>
        <w:rPr>
          <w:rFonts w:ascii="楷体" w:eastAsia="楷体" w:hAnsi="楷体" w:cs="楷体" w:hint="eastAsia"/>
          <w:sz w:val="21"/>
          <w:szCs w:val="21"/>
        </w:rPr>
        <w:t xml:space="preserve">注：本报告中理财产品托管费、代销费、直销费均基于产品实际支付金额进行统计。</w:t>
      </w:r>
    </w:p>
    <w:p>
      <w:pPr>
        <w:pStyle w:val="标题4"/>
        <w:rPr>
          <w:rFonts w:ascii="楷体" w:eastAsia="楷体" w:hAnsi="楷体" w:cs="楷体" w:hint="eastAsia"/>
        </w:rPr>
      </w:pPr>
    </w:p>
    <w:p>
      <w:pPr>
        <w:rPr>
          <w:rFonts w:ascii="楷体" w:eastAsia="楷体" w:hAnsi="楷体" w:cs="楷体" w:hint="eastAsia"/>
          <w:sz w:val="22"/>
          <w:szCs w:val="24"/>
        </w:rPr>
      </w:pPr>
      <w:r>
        <w:rPr>
          <w:rFonts w:ascii="楷体" w:eastAsia="楷体" w:hAnsi="楷体" w:cs="楷体" w:hint="eastAsia"/>
          <w:sz w:val="22"/>
          <w:szCs w:val="24"/>
        </w:rPr>
        <w:t xml:space="preserve">（五）自有资金投资情况</w:t>
      </w:r>
    </w:p>
    <w:tbl>
      <w:tblPr>
        <w:tblStyle w:val="TableNormal"/>
        <w:tblW w:w="7299" w:type="dxa"/>
        <w:tblInd w:w="0" w:type="dxa"/>
        <w:tblLayout w:type="fixed"/>
        <w:tblCellMar>
          <w:top w:w="0" w:type="dxa"/>
          <w:left w:w="108" w:type="dxa"/>
          <w:bottom w:w="0" w:type="dxa"/>
          <w:right w:w="108" w:type="dxa"/>
        </w:tblCellMar>
        <w:tblLook w:firstRow="0" w:lastRow="0" w:firstColumn="0" w:lastColumn="0" w:noHBand="1" w:noVBand="1"/>
      </w:tblPr>
      <w:tblGrid>
        <w:gridCol w:w="2796"/>
        <w:gridCol w:w="4503"/>
      </w:tblGrid>
      <w:tr>
        <w:tblPrEx>
          <w:tblW w:w="7299" w:type="dxa"/>
          <w:tblInd w:w="0" w:type="dxa"/>
          <w:tblLayout w:type="fixed"/>
          <w:tblCellMar>
            <w:top w:w="0" w:type="dxa"/>
            <w:left w:w="108" w:type="dxa"/>
            <w:bottom w:w="0" w:type="dxa"/>
            <w:right w:w="108" w:type="dxa"/>
          </w:tblCellMar>
        </w:tblPrEx>
        <w:trPr>
          <w:trHeight w:val="311"/>
        </w:trPr>
        <w:tc>
          <w:tcPr>
            <w:tcW w:w="2796"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产品名称</w:t>
            </w:r>
          </w:p>
        </w:tc>
        <w:tc>
          <w:tcPr>
            <w:tcW w:w="4503" w:type="dxa"/>
            <w:tcBorders>
              <w:top w:val="single" w:sz="4" w:space="0" w:color="000000"/>
              <w:left w:val="single" w:sz="4" w:space="0" w:color="000000"/>
              <w:bottom w:val="single" w:sz="4" w:space="0" w:color="000000"/>
              <w:right w:val="single" w:sz="4" w:space="0" w:color="000000"/>
            </w:tcBorders>
            <w:shd w:val="clear" w:color="auto" w:fill="auto"/>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299" w:type="dxa"/>
          <w:tblInd w:w="0" w:type="dxa"/>
          <w:tblLayout w:type="fixed"/>
          <w:tblCellMar>
            <w:top w:w="0" w:type="dxa"/>
            <w:left w:w="108" w:type="dxa"/>
            <w:bottom w:w="0" w:type="dxa"/>
            <w:right w:w="108" w:type="dxa"/>
          </w:tblCellMar>
        </w:tblPrEx>
        <w:trPr>
          <w:trHeight w:val="378"/>
        </w:trPr>
        <w:tc>
          <w:tcPr>
            <w:tcW w:w="2796"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c>
          <w:tcPr>
            <w:tcW w:w="4503" w:type="dxa"/>
            <w:tcBorders>
              <w:top w:val="single" w:sz="4" w:space="0" w:color="000000"/>
              <w:left w:val="single" w:sz="4" w:space="0" w:color="000000"/>
              <w:bottom w:val="single" w:sz="4" w:space="0" w:color="000000"/>
              <w:right w:val="single" w:sz="4" w:space="0" w:color="000000"/>
            </w:tcBorders>
            <w:shd w:val="clear" w:color="auto" w:fill="auto"/>
          </w:tcPr>
          <w:p>
            <w:pPr>
              <w:jc w:val="center"/>
              <w:rPr>
                <w:rFonts w:ascii="楷体" w:eastAsia="楷体" w:hAnsi="楷体" w:cs="楷体" w:hint="eastAsia"/>
                <w:sz w:val="22"/>
              </w:rPr>
            </w:pPr>
            <w:r>
              <w:rPr>
                <w:rFonts w:ascii="楷体" w:eastAsia="楷体" w:hAnsi="楷体" w:cs="楷体" w:hint="eastAsia"/>
                <w:sz w:val="22"/>
              </w:rPr>
              <w:t xml:space="preserve">-</w:t>
            </w:r>
          </w:p>
        </w:tc>
      </w:tr>
    </w:tbl>
    <w:p>
      <w:pPr>
        <w:ind w:firstLine="420" w:firstLineChars="200"/>
        <w:rPr>
          <w:rFonts w:ascii="楷体" w:eastAsia="楷体" w:hAnsi="楷体" w:cs="楷体" w:hint="eastAsia"/>
          <w:bCs/>
          <w:kern w:val="0"/>
          <w:sz w:val="21"/>
          <w:szCs w:val="21"/>
        </w:rPr>
      </w:pPr>
      <w:r>
        <w:rPr>
          <w:rFonts w:ascii="楷体" w:eastAsia="楷体" w:hAnsi="楷体" w:cs="楷体" w:hint="eastAsia"/>
          <w:bCs/>
          <w:kern w:val="0"/>
          <w:sz w:val="21"/>
          <w:szCs w:val="21"/>
        </w:rPr>
        <w:t xml:space="preserve">本公司自有资金投资本公司管理的理财产品适用的费率均不优于其他投资者。</w:t>
      </w:r>
    </w:p>
    <w:p>
      <w:pPr>
        <w:ind w:firstLine="420" w:firstLineChars="200"/>
        <w:rPr>
          <w:rFonts w:ascii="楷体" w:eastAsia="楷体" w:hAnsi="楷体" w:cs="楷体" w:hint="eastAsia"/>
          <w:bCs/>
          <w:kern w:val="0"/>
          <w:szCs w:val="21"/>
        </w:rPr>
      </w:pPr>
    </w:p>
    <w:p>
      <w:pPr>
        <w:rPr>
          <w:rFonts w:ascii="楷体" w:eastAsia="楷体" w:hAnsi="楷体" w:cs="楷体" w:hint="eastAsia"/>
          <w:sz w:val="22"/>
          <w:szCs w:val="24"/>
        </w:rPr>
      </w:pPr>
      <w:r>
        <w:rPr>
          <w:rFonts w:ascii="楷体" w:eastAsia="楷体" w:hAnsi="楷体" w:cs="楷体" w:hint="eastAsia"/>
          <w:sz w:val="22"/>
          <w:szCs w:val="24"/>
        </w:rPr>
        <w:t xml:space="preserve">（六）理财产品份额变动情况</w:t>
      </w:r>
    </w:p>
    <w:tbl>
      <w:tblPr>
        <w:tblStyle w:val="TableNormal"/>
        <w:tblW w:w="7305" w:type="dxa"/>
        <w:tblInd w:w="0" w:type="dxa"/>
        <w:tblLayout w:type="fixed"/>
        <w:tblCellMar>
          <w:top w:w="0" w:type="dxa"/>
          <w:left w:w="108" w:type="dxa"/>
          <w:bottom w:w="0" w:type="dxa"/>
          <w:right w:w="108" w:type="dxa"/>
        </w:tblCellMar>
        <w:tblLook w:firstRow="0" w:lastRow="0" w:firstColumn="0" w:lastColumn="0" w:noHBand="1" w:noVBand="1"/>
      </w:tblPr>
      <w:tblGrid>
        <w:gridCol w:w="2798"/>
        <w:gridCol w:w="4507"/>
      </w:tblGrid>
      <w:tr>
        <w:tblPrEx>
          <w:tblW w:w="7305" w:type="dxa"/>
          <w:tblInd w:w="0" w:type="dxa"/>
          <w:tblLayout w:type="fixed"/>
          <w:tblCellMar>
            <w:top w:w="0" w:type="dxa"/>
            <w:left w:w="108" w:type="dxa"/>
            <w:bottom w:w="0" w:type="dxa"/>
            <w:right w:w="108" w:type="dxa"/>
          </w:tblCellMar>
        </w:tblPrEx>
        <w:trPr>
          <w:trHeight w:val="311"/>
        </w:trPr>
        <w:tc>
          <w:tcPr>
            <w:tcW w:w="2798"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日期</w:t>
            </w:r>
          </w:p>
        </w:tc>
        <w:tc>
          <w:tcPr>
            <w:tcW w:w="4507" w:type="dxa"/>
            <w:tcBorders>
              <w:top w:val="single" w:sz="4" w:space="0" w:color="000000"/>
              <w:left w:val="single" w:sz="4" w:space="0" w:color="000000"/>
              <w:bottom w:val="single" w:sz="4" w:space="0" w:color="000000"/>
              <w:right w:val="single" w:sz="4" w:space="0" w:color="000000"/>
            </w:tcBorders>
            <w:vAlign w:val="center"/>
          </w:tcPr>
          <w:p>
            <w:pPr>
              <w:spacing w:line="320" w:lineRule="exact"/>
              <w:jc w:val="center"/>
              <w:rPr>
                <w:rFonts w:ascii="楷体" w:eastAsia="楷体" w:hAnsi="楷体" w:cs="楷体" w:hint="eastAsia"/>
                <w:sz w:val="22"/>
                <w:szCs w:val="24"/>
              </w:rPr>
            </w:pPr>
            <w:r>
              <w:rPr>
                <w:rFonts w:ascii="楷体" w:eastAsia="楷体" w:hAnsi="楷体" w:cs="楷体" w:hint="eastAsia"/>
                <w:sz w:val="22"/>
                <w:szCs w:val="24"/>
              </w:rPr>
              <w:t xml:space="preserve">持有份额（份）</w:t>
            </w:r>
          </w:p>
        </w:tc>
      </w:tr>
      <w:tr>
        <w:tblPrEx>
          <w:tblW w:w="7305" w:type="dxa"/>
          <w:tblInd w:w="0" w:type="dxa"/>
          <w:tblLayout w:type="fixed"/>
          <w:tblCellMar>
            <w:top w:w="0" w:type="dxa"/>
            <w:left w:w="108" w:type="dxa"/>
            <w:bottom w:w="0" w:type="dxa"/>
            <w:right w:w="108" w:type="dxa"/>
          </w:tblCellMar>
        </w:tblPrEx>
        <w:trPr>
          <w:trHeight w:val="320"/>
        </w:trPr>
        <w:tc>
          <w:tcPr>
            <w:tcW w:w="2798"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2025-06-30</w:t>
            </w:r>
          </w:p>
        </w:tc>
        <w:tc>
          <w:tcPr>
            <w:tcW w:w="4507" w:type="dxa"/>
            <w:tcBorders>
              <w:top w:val="single" w:sz="4" w:space="0" w:color="000000"/>
              <w:left w:val="single" w:sz="4" w:space="0" w:color="000000"/>
              <w:bottom w:val="single" w:sz="4" w:space="0" w:color="000000"/>
              <w:right w:val="single" w:sz="4" w:space="0" w:color="000000"/>
            </w:tcBorders>
          </w:tcPr>
          <w:p>
            <w:pPr>
              <w:jc w:val="center"/>
              <w:rPr>
                <w:rFonts w:ascii="楷体" w:eastAsia="楷体" w:hAnsi="楷体" w:cs="楷体" w:hint="eastAsia"/>
                <w:sz w:val="22"/>
              </w:rPr>
            </w:pPr>
            <w:r>
              <w:rPr>
                <w:rFonts w:ascii="楷体" w:eastAsia="楷体" w:hAnsi="楷体" w:cs="楷体" w:hint="eastAsia"/>
                <w:sz w:val="22"/>
              </w:rPr>
              <w:t xml:space="preserve">446,711,918.00</w:t>
            </w:r>
          </w:p>
        </w:tc>
      </w:tr>
      <w:tr>
        <w:trPr>
          <w:trHeight w:val="320"/>
        </w:trPr>
        <w:tc>
          <w:tcPr>
            <w:tcW w:w="2798"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2025-03-31</w:t>
            </w:r>
          </w:p>
        </w:tc>
        <w:tc>
          <w:tcPr>
            <w:tcW w:w="4507" w:type="dxa"/>
            <w:tcBorders>
              <w:top w:val="single" w:sz="4" w:space="0" w:color="000000"/>
              <w:left w:val="single" w:sz="4" w:space="0" w:color="000000"/>
              <w:bottom w:val="single" w:sz="4" w:space="0" w:color="000000"/>
              <w:right w:val="single" w:sz="4" w:space="0" w:color="000000"/>
            </w:tcBorders>
          </w:tcPr>
          <w:p>
            <w:pPr>
              <w:pageBreakBefore w:val="0"/>
              <w:jc w:val="center"/>
              <w:textAlignment w:val="auto"/>
            </w:pPr>
            <w:r>
              <w:rPr>
                <w:rFonts w:ascii="楷体" w:eastAsia="楷体" w:hAnsi="楷体" w:cs="楷体"/>
                <w:b w:val="0"/>
                <w:i w:val="0"/>
                <w:strike w:val="0"/>
                <w:color w:val="auto"/>
                <w:position w:val="-1"/>
                <w:sz w:val="22"/>
                <w:u w:val="none"/>
              </w:rPr>
              <w:t xml:space="preserve">446,751,918.00</w:t>
            </w:r>
          </w:p>
        </w:tc>
      </w:tr>
    </w:tbl>
    <w:p>
      <w:pPr>
        <w:pStyle w:val="标题4"/>
        <w:rPr>
          <w:rFonts w:ascii="楷体" w:eastAsia="楷体" w:hAnsi="楷体" w:cs="楷体" w:hint="eastAsia"/>
        </w:rPr>
      </w:pPr>
    </w:p>
    <w:p>
      <w:pPr>
        <w:pStyle w:val="Heading3"/>
        <w:rPr>
          <w:rFonts w:ascii="楷体" w:eastAsia="楷体" w:hAnsi="楷体" w:cs="楷体" w:hint="eastAsia"/>
        </w:rPr>
      </w:pPr>
      <w:r>
        <w:rPr>
          <w:rFonts w:ascii="楷体" w:eastAsia="楷体" w:hAnsi="楷体" w:cs="楷体" w:hint="eastAsia"/>
        </w:rPr>
        <w:t xml:space="preserve">四.投资运作情况</w:t>
      </w:r>
    </w:p>
    <w:p>
      <w:pPr>
        <w:pStyle w:val="Heading3"/>
        <w:rPr>
          <w:rFonts w:ascii="楷体" w:eastAsia="楷体" w:hAnsi="楷体" w:cs="楷体" w:hint="eastAsia"/>
          <w:b w:val="0"/>
          <w:sz w:val="21"/>
        </w:rPr>
      </w:pPr>
      <w:r>
        <w:rPr>
          <w:rFonts w:ascii="楷体" w:eastAsia="楷体" w:hAnsi="楷体" w:cs="楷体" w:hint="eastAsia"/>
          <w:b w:val="0"/>
          <w:sz w:val="21"/>
        </w:rPr>
        <w:t xml:space="preserve">1、运作期回顾</w:t>
      </w:r>
    </w:p>
    <w:p>
      <w:pPr>
        <w:pStyle w:val="BodyText"/>
        <w:spacing w:before="0" w:line="240" w:lineRule="auto"/>
        <w:ind w:left="0" w:right="0" w:firstLine="0" w:firstLineChars="0"/>
        <w:rPr>
          <w:rFonts w:ascii="楷体" w:eastAsia="楷体" w:hAnsi="楷体" w:cs="楷体" w:hint="eastAsia"/>
          <w:spacing w:val="8"/>
          <w:sz w:val="21"/>
        </w:rPr>
      </w:pPr>
      <w:r>
        <w:rPr>
          <w:rFonts w:ascii="楷体" w:eastAsia="楷体" w:hAnsi="楷体" w:cs="楷体" w:hint="eastAsia"/>
          <w:spacing w:val="8"/>
          <w:sz w:val="21"/>
        </w:rPr>
        <w:t xml:space="preserve">    本理财产品以固收类资产和非标资产为主，主要配置优质非标与中高等级债券，通过对宏观经济、市场利率、债券市场需求供给的变化、信用风险等进行充分研判，主动构建并调整债券资产投资组合，力争获取超额收益。二季度债券市场整体呈震荡下行趋势，产品整体表现较为稳健，后续有望继续提供长期稳健收益。</w:t>
      </w:r>
    </w:p>
    <w:p>
      <w:pPr>
        <w:pStyle w:val="BodyText"/>
        <w:spacing w:before="43" w:line="275" w:lineRule="auto"/>
        <w:ind w:right="1799" w:firstLine="226" w:firstLineChars="100"/>
        <w:rPr>
          <w:rFonts w:ascii="楷体" w:eastAsia="楷体" w:hAnsi="楷体" w:cs="楷体" w:hint="eastAsia"/>
          <w:spacing w:val="8"/>
          <w:sz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2、后市展望及下阶段投资策略</w:t>
      </w:r>
    </w:p>
    <w:p>
      <w:pPr>
        <w:pStyle w:val="BodyText"/>
        <w:spacing w:before="0" w:line="240" w:lineRule="auto"/>
        <w:ind w:left="0" w:right="0" w:firstLine="0" w:firstLineChars="0"/>
        <w:jc w:val="both"/>
        <w:rPr>
          <w:rFonts w:ascii="楷体" w:eastAsia="楷体" w:hAnsi="楷体" w:cs="楷体" w:hint="eastAsia"/>
          <w:sz w:val="21"/>
        </w:rPr>
      </w:pPr>
      <w:r>
        <w:rPr>
          <w:rFonts w:ascii="楷体" w:eastAsia="楷体" w:hAnsi="楷体" w:cs="楷体" w:hint="eastAsia"/>
          <w:spacing w:val="9"/>
          <w:sz w:val="21"/>
        </w:rPr>
        <w:t xml:space="preserve">    从基本面看，二季度GDP增速为5.2%，经济运行总体平稳。其中工业生产增长较快，制造业温和回暖。6月规模以上工业增加值同比增长6.8%，环比增长0.50%；制造业采购经理指数(PMI)为49.7%，较5月上升0.2个百分点。金融数据方面，6月社会融资规模增量4.2万亿元，同比多增9008亿元，政府债券和对实体经济发放的贷款是拉动社会融资规模较快增长的主要因素。经济数据方面，5月社零增速冲高至6.4%之后，6月社零略有回落，同比增长4.8%，预期增5.6%，6月增速下滑主要原因在于餐饮收入增速明显下滑。物价方面，通缩压力仍然存在。4、5月CPI同比均为-0.1%，环比为0.1%和-0.2%，PPI同比为-2.7%和-3.3%，环比均为-0.4%；6月CPI同比为0.1%，环比为-0.1%，PPI同比为-3.6%，环比为-0.4%。总体二季度经济景气度虽有所回落，但仍顶住压力、迎难而上，呈现出总体平稳、稳中向好的态势。由于特朗普关税事件的持续发酵，外部不稳定不确定因素较多，国内有效需求不足，经济回升向好基础仍需加力巩固。</w:t>
      </w:r>
      <w:r>
        <w:rPr>
          <w:rFonts w:ascii="楷体" w:eastAsia="楷体" w:hAnsi="楷体" w:cs="楷体" w:hint="eastAsia"/>
          <w:spacing w:val="9"/>
          <w:sz w:val="21"/>
        </w:rPr>
        <w:br/>
      </w:r>
      <w:r>
        <w:rPr>
          <w:rFonts w:ascii="楷体" w:eastAsia="楷体" w:hAnsi="楷体" w:cs="楷体" w:hint="eastAsia"/>
          <w:spacing w:val="9"/>
          <w:sz w:val="21"/>
        </w:rPr>
        <w:t xml:space="preserve">    债券市场方面，受货币政策延续宽松基调等影响，二季度收益率整体呈现“宽幅震荡、中枢下行”特征。4月份受美国加征关税、基本面边际走弱因素影响，中长端利率大幅下行，资金面也有所回暖，因此债市走出牛平特征。5月中旬开始，国债收益率触底后快速反弹；6月中下旬开始，随着央行放量投放，资金利率超预期宽松，叠加基本面趋弱引发配置资金“跨季抢跑”，收益率再度下行。</w:t>
      </w:r>
      <w:r>
        <w:rPr>
          <w:rFonts w:ascii="楷体" w:eastAsia="楷体" w:hAnsi="楷体" w:cs="楷体" w:hint="eastAsia"/>
          <w:spacing w:val="9"/>
          <w:sz w:val="21"/>
        </w:rPr>
        <w:br/>
      </w:r>
      <w:r>
        <w:rPr>
          <w:rFonts w:ascii="楷体" w:eastAsia="楷体" w:hAnsi="楷体" w:cs="楷体" w:hint="eastAsia"/>
          <w:spacing w:val="9"/>
          <w:sz w:val="21"/>
        </w:rPr>
        <w:t xml:space="preserve">    未来，根据市场变化，控制组合久期处于合理稳健区间。资产配置上兼顾安全性、流动性和收益性，坚守风险合规底线，紧密跟踪市场变化，强化投资研究分析，致力于为广大投资者创造长期稳健的投资回报。</w:t>
      </w:r>
    </w:p>
    <w:p>
      <w:pPr>
        <w:ind w:firstLine="420" w:firstLineChars="200"/>
        <w:rPr>
          <w:rFonts w:ascii="楷体" w:eastAsia="楷体" w:hAnsi="楷体" w:cs="楷体" w:hint="eastAsia"/>
          <w:bCs/>
          <w:kern w:val="0"/>
          <w:szCs w:val="21"/>
        </w:rPr>
      </w:pPr>
    </w:p>
    <w:p>
      <w:pPr>
        <w:pStyle w:val="Heading3"/>
        <w:rPr>
          <w:rFonts w:ascii="楷体" w:eastAsia="楷体" w:hAnsi="楷体" w:cs="楷体" w:hint="eastAsia"/>
          <w:b w:val="0"/>
          <w:sz w:val="21"/>
        </w:rPr>
      </w:pPr>
      <w:r>
        <w:rPr>
          <w:rFonts w:ascii="楷体" w:eastAsia="楷体" w:hAnsi="楷体" w:cs="楷体" w:hint="eastAsia"/>
          <w:b w:val="0"/>
          <w:sz w:val="21"/>
        </w:rPr>
        <w:t xml:space="preserve">3、流动性风险分析</w:t>
      </w:r>
    </w:p>
    <w:p>
      <w:pPr>
        <w:pStyle w:val="BodyText"/>
        <w:spacing w:before="0" w:line="240" w:lineRule="auto"/>
        <w:ind w:left="0" w:right="0" w:firstLine="0" w:firstLineChars="0"/>
        <w:rPr>
          <w:rFonts w:ascii="楷体" w:eastAsia="楷体" w:hAnsi="楷体" w:cs="楷体" w:hint="eastAsia"/>
          <w:sz w:val="21"/>
        </w:rPr>
      </w:pPr>
      <w:r>
        <w:rPr>
          <w:rFonts w:ascii="楷体" w:eastAsia="楷体" w:hAnsi="楷体" w:cs="楷体" w:hint="eastAsia"/>
          <w:spacing w:val="9"/>
          <w:sz w:val="21"/>
        </w:rPr>
        <w:t xml:space="preserve">    本产品持仓优质非标资产与中高等级债券，抗市场波动能力较强，通过组合久期管理、流动性指标监测等多项措施持续加强久期与流动性管理，有效控制产品的流动性风险。</w:t>
      </w:r>
      <w:bookmarkStart w:id="1" w:name="_GoBack"/>
      <w:bookmarkEnd w:id="1"/>
    </w:p>
    <w:p>
      <w:pPr>
        <w:ind w:firstLine="420" w:firstLineChars="200"/>
        <w:rPr>
          <w:rFonts w:ascii="楷体" w:eastAsia="楷体" w:hAnsi="楷体" w:cs="楷体" w:hint="eastAsia"/>
          <w:bCs/>
          <w:kern w:val="0"/>
          <w:szCs w:val="21"/>
        </w:rPr>
      </w:pPr>
    </w:p>
    <w:p>
      <w:pPr>
        <w:rPr>
          <w:rFonts w:ascii="楷体" w:eastAsia="楷体" w:hAnsi="楷体" w:cs="楷体" w:hint="eastAsia"/>
        </w:rPr>
      </w:pPr>
    </w:p>
    <w:p>
      <w:pPr>
        <w:ind w:firstLine="420" w:firstLineChars="200"/>
        <w:rPr>
          <w:rFonts w:ascii="楷体" w:eastAsia="楷体" w:hAnsi="楷体" w:cs="楷体" w:hint="eastAsia"/>
          <w:bCs/>
          <w:kern w:val="0"/>
          <w:szCs w:val="21"/>
        </w:rPr>
      </w:pPr>
    </w:p>
    <w:p>
      <w:pPr>
        <w:rPr>
          <w:rFonts w:ascii="楷体" w:eastAsia="楷体" w:hAnsi="楷体" w:cs="楷体" w:hint="eastAsia"/>
          <w:sz w:val="21"/>
          <w:szCs w:val="21"/>
        </w:rPr>
      </w:pPr>
    </w:p>
    <w:p>
      <w:pPr>
        <w:jc w:val="right"/>
        <w:rPr>
          <w:rFonts w:ascii="楷体" w:eastAsia="楷体" w:hAnsi="楷体" w:cs="楷体" w:hint="eastAsia"/>
          <w:sz w:val="21"/>
          <w:szCs w:val="21"/>
        </w:rPr>
      </w:pPr>
      <w:r>
        <w:rPr>
          <w:rFonts w:ascii="楷体" w:eastAsia="楷体" w:hAnsi="楷体" w:cs="楷体" w:hint="eastAsia"/>
          <w:b/>
          <w:sz w:val="21"/>
          <w:szCs w:val="21"/>
        </w:rPr>
        <w:t xml:space="preserve">苏银理财有限责任公司</w:t>
      </w:r>
    </w:p>
    <w:p>
      <w:pPr>
        <w:ind w:firstLine="630" w:firstLineChars="300"/>
        <w:jc w:val="right"/>
        <w:rPr>
          <w:rFonts w:ascii="楷体" w:eastAsia="楷体" w:hAnsi="楷体" w:cs="楷体" w:hint="eastAsia"/>
          <w:sz w:val="21"/>
          <w:szCs w:val="21"/>
        </w:rPr>
      </w:pPr>
      <w:r>
        <w:rPr>
          <w:rFonts w:ascii="楷体" w:eastAsia="楷体" w:hAnsi="楷体" w:cs="楷体" w:hint="eastAsia"/>
          <w:sz w:val="21"/>
          <w:szCs w:val="21"/>
        </w:rPr>
        <w:t xml:space="preserve">2025年06月30日</w:t>
      </w:r>
    </w:p>
    <w:p>
      <w:pPr>
        <w:rPr>
          <w:rFonts w:ascii="楷体" w:eastAsia="楷体" w:hAnsi="楷体" w:cs="楷体" w:hint="eastAsia"/>
          <w:sz w:val="21"/>
          <w:szCs w:val="21"/>
        </w:rPr>
      </w:pPr>
    </w:p>
    <w:p>
      <w:pPr>
        <w:rPr>
          <w:rFonts w:ascii="楷体" w:eastAsia="楷体" w:hAnsi="楷体" w:cs="楷体" w:hint="eastAsia"/>
          <w:sz w:val="21"/>
          <w:szCs w:val="21"/>
        </w:rPr>
      </w:pPr>
      <w:r>
        <w:rPr>
          <w:rFonts w:ascii="楷体" w:eastAsia="楷体" w:hAnsi="楷体" w:cs="楷体" w:hint="eastAsia"/>
          <w:sz w:val="21"/>
          <w:szCs w:val="21"/>
        </w:rPr>
        <w:t xml:space="preserve">备注：本次披露内容解释权归苏银理财所有，不构成任何形式的法律要约或承诺。</w:t>
      </w:r>
    </w:p>
    <w:sectPr>
      <w:headerReference w:type="even" r:id="rId5"/>
      <w:headerReference w:type="default" r:id="rId6"/>
      <w:headerReference w:type="first" r:id="rId7"/>
      <w:footerReference w:type="default" r:id="rId8"/>
      <w:pgSz w:w="11906" w:h="16838" w:orient="portrait"/>
      <w:pgMar w:top="1440" w:right="1800" w:bottom="1440" w:left="1701" w:header="851" w:footer="992" w:gutter="0"/>
      <w:cols w:num="1" w:space="720">
        <w:col w:w="8405" w:space="720"/>
      </w:cols>
      <w:docGrid w:type="lines" w:linePitch="312" w:charSpace="0"/>
    </w:sectPr>
  </w:body>
</w:document>
</file>

<file path=word/fontTable.xml><?xml version="1.0" encoding="utf-8"?>
<w:fonts xmlns:r="http://schemas.openxmlformats.org/officeDocument/2006/relationships" xmlns:w="http://schemas.openxmlformats.org/wordprocessingml/2006/main" xmlns:mc="http://schemas.openxmlformats.org/markup-compatibility/2006" xmlns:w14="http://schemas.microsoft.com/office/word/2010/wordml" mc:Ignorable="w14">
  <w:font w:name="Times New Roman">
    <w:panose1 w:val="02020603050405020304"/>
    <w:charset w:val="00"/>
    <w:family w:val="Auto"/>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Auto"/>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Auto"/>
    <w:pitch w:val="default"/>
    <w:sig w:usb0="E0002AFF" w:usb1="C0007843" w:usb2="00000009" w:usb3="00000000" w:csb0="400001FF" w:csb1="FFFF0000"/>
  </w:font>
  <w:font w:name="Symbol">
    <w:panose1 w:val="05050102010706020507"/>
    <w:charset w:val="02"/>
    <w:family w:val="Auto"/>
    <w:pitch w:val="default"/>
    <w:sig w:usb0="00000000" w:usb1="00000000" w:usb2="00000000" w:usb3="00000000" w:csb0="80000000" w:csb1="00000000"/>
  </w:font>
  <w:font w:name="Calibri">
    <w:panose1 w:val="020F0502020204030204"/>
    <w:charset w:val="00"/>
    <w:family w:val="Auto"/>
    <w:pitch w:val="default"/>
    <w:sig w:usb0="E00002FF" w:usb1="4000ACFF" w:usb2="00000001" w:usb3="00000000" w:csb0="2000019F" w:csb1="00000000"/>
  </w:font>
  <w:font w:name="DengXian">
    <w:altName w:val="宋体"/>
    <w:panose1 w:val="02010600030101010101"/>
    <w:charset w:val="86"/>
    <w:family w:val="Auto"/>
    <w:pitch w:val="default"/>
    <w:sig w:usb0="00000000" w:usb1="00000000" w:usb2="00000016" w:usb3="00000000" w:csb0="0004000F"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Footer"/>
      <w:jc w:val="center"/>
    </w:pPr>
    <w:r>
      <w:rPr>
        <w:lang w:val="zh-CN"/>
      </w:rPr>
      <w:t xml:space="preserve"> </w:t>
    </w:r>
    <w:r>
      <w:rPr>
        <w:b/>
        <w:bCs/>
      </w:rPr>
      <w:fldChar w:fldCharType="begin"/>
    </w:r>
    <w:r>
      <w:rPr>
        <w:b/>
        <w:bCs/>
      </w:rPr>
      <w:instrText xml:space="preserve">PAGE</w:instrText>
    </w:r>
    <w:r>
      <w:rPr>
        <w:b/>
        <w:bCs/>
        <w:sz w:val="24"/>
        <w:szCs w:val="24"/>
      </w:rPr>
      <w:fldChar w:fldCharType="separate"/>
    </w:r>
    <w:r>
      <w:rPr>
        <w:b/>
        <w:bCs/>
      </w:rPr>
      <w:t xml:space="preserve">2</w:t>
    </w:r>
    <w:r>
      <w:rPr>
        <w:b/>
        <w:bCs/>
        <w:sz w:val="24"/>
        <w:szCs w:val="24"/>
      </w:rPr>
      <w:fldChar w:fldCharType="end"/>
    </w:r>
    <w:r>
      <w:rPr>
        <w:lang w:val="zh-CN"/>
      </w:rPr>
      <w:t xml:space="preserve"> / </w:t>
    </w:r>
    <w:r>
      <w:rPr>
        <w:b/>
        <w:bCs/>
      </w:rPr>
      <w:fldChar w:fldCharType="begin"/>
    </w:r>
    <w:r>
      <w:rPr>
        <w:b/>
        <w:bCs/>
      </w:rPr>
      <w:instrText xml:space="preserve">NUMPAGES</w:instrText>
    </w:r>
    <w:r>
      <w:rPr>
        <w:b/>
        <w:bCs/>
        <w:sz w:val="24"/>
        <w:szCs w:val="24"/>
      </w:rPr>
      <w:fldChar w:fldCharType="separate"/>
    </w:r>
    <w:r>
      <w:rPr>
        <w:b/>
        <w:bCs/>
      </w:rPr>
      <w:t xml:space="preserve">4</w:t>
    </w:r>
    <w:r>
      <w:rPr>
        <w:b/>
        <w:bCs/>
        <w:sz w:val="24"/>
        <w:szCs w:val="24"/>
      </w:rPr>
      <w:fldChar w:fldCharType="end"/>
    </w:r>
  </w:p>
  <w:p>
    <w:pPr>
      <w:pStyle w:val="Footer"/>
    </w:pPr>
  </w:p>
</w:ftr>
</file>

<file path=word/header1.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5" o:spid="WordPictureWatermark4162" type="#_x0000_t75" style="height:862.85pt;margin-left:0;margin-top:0;mso-height-relative:page;mso-position-horizontal:center;mso-position-horizontal-relative:margin;mso-position-vertical:center;mso-position-vertical-relative:margin;mso-width-relative:page;position:absolute;width:1137.35pt;z-index:-251656192" coordsize="21600,21600" o:allowincell="f" o:preferrelative="t" filled="f" stroked="f">
          <v:stroke joinstyle="miter"/>
          <v:imagedata r:id="rId1" o:title="苏银理财" gain="19661f" blacklevel="22938f"/>
          <o:lock v:ext="edit" aspectratio="t"/>
          <w10:wrap anchorx="margin" anchory="margin"/>
        </v:shape>
      </w:pict>
    </w:r>
  </w:p>
</w:hdr>
</file>

<file path=word/header2.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BodyText"/>
      <w:kinsoku w:val="0"/>
      <w:overflowPunct w:val="0"/>
      <w:spacing w:before="0" w:line="320" w:lineRule="exact"/>
      <w:ind w:left="20"/>
      <w:jc w:val="both"/>
      <w:rPr>
        <w:rFonts w:ascii="楷体" w:eastAsia="楷体" w:hAnsi="楷体" w:cs="黑体"/>
        <w:b/>
        <w:spacing w:val="-2"/>
        <w:sz w:val="24"/>
        <w:szCs w:val="24"/>
      </w:rPr>
    </w:pPr>
    <w:r>
      <w:rPr/>
      <w:pict>
        <v:shape id="WordPictureWatermark1026" o:spid="WordPictureWatermark4164" type="#_x0000_t75" style="height:862.85pt;margin-left:0;margin-top:0;mso-height-relative:page;mso-position-horizontal:center;mso-position-horizontal-relative:margin;mso-position-vertical:center;mso-position-vertical-relative:margin;mso-width-relative:page;position:absolute;width:1137.35pt;z-index:-251655168" coordsize="21600,21600" o:allowincell="f" o:preferrelative="t" filled="f" stroked="f">
          <v:stroke joinstyle="miter"/>
          <v:imagedata r:id="rId1" o:title="苏银理财" gain="19661f" blacklevel="22938f"/>
          <o:lock v:ext="edit" aspectratio="t"/>
          <w10:wrap anchorx="margin" anchory="margin"/>
        </v:shape>
      </w:pict>
    </w:r>
    <w:r>
      <w:pict>
        <v:shape id="图片 1" o:spid="_x0000_s4165" type="#_x0000_t75" style="height:33.45pt;margin-left:308.95pt;margin-top:-7.5pt;mso-height-relative:page;mso-width-relative:page;mso-wrap-distance-bottom:0;mso-wrap-distance-left:9pt;mso-wrap-distance-right:9pt;mso-wrap-distance-top:0;position:absolute;width:104.35pt;z-index:251662336" coordsize="21600,21600" o:preferrelative="t" filled="f" stroked="f">
          <v:stroke joinstyle="miter"/>
          <v:imagedata r:id="rId2" o:title=""/>
          <o:lock v:ext="edit" aspectratio="t"/>
          <w10:wrap type="square"/>
        </v:shape>
      </w:pict>
    </w:r>
    <w:r>
      <w:rPr>
        <w:rFonts w:ascii="楷体" w:eastAsia="楷体" w:hAnsi="楷体" w:cs="黑体" w:hint="eastAsia"/>
        <w:b/>
        <w:bCs/>
        <w:spacing w:val="-2"/>
        <w:sz w:val="24"/>
        <w:szCs w:val="24"/>
      </w:rPr>
      <w:t xml:space="preserve">理财非存款、产品有风险、投资须谨慎</w:t>
    </w:r>
  </w:p>
</w:hdr>
</file>

<file path=word/header3.xml><?xml version="1.0" encoding="utf-8"?>
<w:hdr xmlns:v="urn:schemas-microsoft-com:vml" xmlns:w10="urn:schemas-microsoft-com:office:word" xmlns:o="urn:schemas-microsoft-com:office:office" xmlns:ve="http://schemas.openxmlformats.org/markup-compatibility/2006" xmlns:r="http://schemas.openxmlformats.org/officeDocument/2006/relationships" xmlns:m="http://schemas.openxmlformats.org/officeDocument/2006/math" xmlns:wne="http://schemas.microsoft.com/office/word/2006/wordml" xmlns:a="http://schemas.openxmlformats.org/drawingml/2006/main" xmlns:pic="http://schemas.openxmlformats.org/drawingml/2006/picture" xmlns:wp="http://schemas.openxmlformats.org/drawingml/2006/wordprocessingDrawing" xmlns:wps="http://schemas.microsoft.com/office/word/2010/wordprocessingShape" xmlns:wpg="http://schemas.microsoft.com/office/word/2010/wordprocessingGroup" xmlns:w="http://schemas.openxmlformats.org/wordprocessingml/2006/main">
  <w:p>
    <w:pPr>
      <w:pStyle w:val="Header"/>
    </w:pPr>
    <w:r>
      <w:rPr/>
      <w:pict>
        <v:shape id="WordPictureWatermark1027" o:spid="WordPictureWatermark4167" type="#_x0000_t75" style="height:862.85pt;margin-left:0;margin-top:0;mso-height-relative:page;mso-position-horizontal:center;mso-position-horizontal-relative:margin;mso-position-vertical:center;mso-position-vertical-relative:margin;mso-width-relative:page;position:absolute;width:1137.35pt;z-index:-251657216" coordsize="21600,21600" o:allowincell="f" o:preferrelative="t" filled="f" stroked="f">
          <v:stroke joinstyle="miter"/>
          <v:imagedata r:id="rId1" o:title="苏银理财" gain="19661f" blacklevel="22938f"/>
          <o:lock v:ext="edit" aspectratio="t"/>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multiLevelType w:val="multilevel"/>
    <w:lvl w:ilvl="0">
      <w:start w:val="1"/>
      <w:numFmt w:val="decimal"/>
      <w:suff w:val="tab"/>
      <w:lvlText w:val="%1."/>
      <w:lvlJc w:val="left"/>
      <w:pPr>
        <w:ind w:left="1080" w:hanging="360"/>
      </w:pPr>
      <w:rPr>
        <w:rFonts w:ascii="Times New Roman" w:eastAsia="Times New Roman" w:hAnsi="Times New Roman" w:cs="Times New Roman"/>
      </w:rPr>
    </w:lvl>
    <w:lvl w:ilvl="1">
      <w:start w:val="1"/>
      <w:numFmt w:val="lowerLetter"/>
      <w:suff w:val="tab"/>
      <w:lvlText w:val="%2."/>
      <w:lvlJc w:val="right"/>
      <w:pPr>
        <w:ind w:left="1800" w:hanging="360"/>
      </w:pPr>
      <w:rPr>
        <w:rFonts w:ascii="Times New Roman" w:eastAsia="Times New Roman" w:hAnsi="Times New Roman" w:cs="Times New Roman"/>
      </w:rPr>
    </w:lvl>
    <w:lvl w:ilvl="2">
      <w:start w:val="1"/>
      <w:numFmt w:val="lowerRoman"/>
      <w:suff w:val="tab"/>
      <w:lvlText w:val="%3."/>
      <w:lvlJc w:val="left"/>
      <w:pPr>
        <w:ind w:left="2520" w:hanging="360"/>
      </w:pPr>
      <w:rPr>
        <w:rFonts w:ascii="Times New Roman" w:eastAsia="Times New Roman" w:hAnsi="Times New Roman" w:cs="Times New Roman"/>
      </w:rPr>
    </w:lvl>
    <w:lvl w:ilvl="3">
      <w:start w:val="1"/>
      <w:numFmt w:val="decimal"/>
      <w:suff w:val="tab"/>
      <w:lvlText w:val="%4."/>
      <w:lvlJc w:val="left"/>
      <w:pPr>
        <w:ind w:left="3240" w:hanging="360"/>
      </w:pPr>
      <w:rPr>
        <w:rFonts w:ascii="Times New Roman" w:eastAsia="Times New Roman" w:hAnsi="Times New Roman" w:cs="Times New Roman"/>
      </w:rPr>
    </w:lvl>
    <w:lvl w:ilvl="4">
      <w:start w:val="1"/>
      <w:numFmt w:val="lowerLetter"/>
      <w:suff w:val="tab"/>
      <w:lvlText w:val="%5."/>
      <w:lvlJc w:val="right"/>
      <w:pPr>
        <w:ind w:left="3960" w:hanging="360"/>
      </w:pPr>
      <w:rPr>
        <w:rFonts w:ascii="Times New Roman" w:eastAsia="Times New Roman" w:hAnsi="Times New Roman" w:cs="Times New Roman"/>
      </w:rPr>
    </w:lvl>
    <w:lvl w:ilvl="5">
      <w:start w:val="1"/>
      <w:numFmt w:val="lowerRoman"/>
      <w:suff w:val="tab"/>
      <w:lvlText w:val="%6."/>
      <w:lvlJc w:val="left"/>
      <w:pPr>
        <w:ind w:left="4680" w:hanging="360"/>
      </w:pPr>
      <w:rPr>
        <w:rFonts w:ascii="Times New Roman" w:eastAsia="Times New Roman" w:hAnsi="Times New Roman" w:cs="Times New Roman"/>
      </w:rPr>
    </w:lvl>
    <w:lvl w:ilvl="6">
      <w:start w:val="1"/>
      <w:numFmt w:val="decimal"/>
      <w:suff w:val="tab"/>
      <w:lvlText w:val="%7."/>
      <w:lvlJc w:val="left"/>
      <w:pPr>
        <w:ind w:left="5400" w:hanging="360"/>
      </w:pPr>
      <w:rPr>
        <w:rFonts w:ascii="Times New Roman" w:eastAsia="Times New Roman" w:hAnsi="Times New Roman" w:cs="Times New Roman"/>
      </w:rPr>
    </w:lvl>
    <w:lvl w:ilvl="7">
      <w:start w:val="1"/>
      <w:numFmt w:val="lowerLetter"/>
      <w:suff w:val="tab"/>
      <w:lvlText w:val="%8."/>
      <w:lvlJc w:val="right"/>
      <w:pPr>
        <w:ind w:left="6120" w:hanging="360"/>
      </w:pPr>
      <w:rPr>
        <w:rFonts w:ascii="Times New Roman" w:eastAsia="Times New Roman" w:hAnsi="Times New Roman" w:cs="Times New Roman"/>
      </w:rPr>
    </w:lvl>
    <w:lvl w:ilvl="8">
      <w:start w:val="1"/>
      <w:numFmt w:val="lowerRoman"/>
      <w:suff w:val="tab"/>
      <w:lvlText w:val="%9."/>
      <w:lvlJc w:val="left"/>
      <w:pPr>
        <w:ind w:left="6840" w:hanging="360"/>
      </w:pPr>
      <w:rPr>
        <w:rFonts w:ascii="Times New Roman" w:eastAsia="Times New Roman" w:hAnsi="Times New Roman" w:cs="Times New Roman"/>
      </w:rPr>
    </w:lvl>
  </w:abstractNum>
  <w:abstractNum w:abstractNumId="1">
    <w:multiLevelType w:val="multilevel"/>
    <w:lvl w:ilvl="0">
      <w:start w:val="1"/>
      <w:numFmt w:val="bullet"/>
      <w:suff w:val="tab"/>
      <w:lvlText w:val=""/>
      <w:lvlJc w:val="left"/>
      <w:pPr>
        <w:ind w:left="1080" w:hanging="360"/>
      </w:pPr>
      <w:rPr>
        <w:rFonts w:ascii="Symbol" w:eastAsia="Symbol" w:hAnsi="Symbol" w:cs="Symbol"/>
      </w:rPr>
    </w:lvl>
    <w:lvl w:ilvl="1">
      <w:start w:val="1"/>
      <w:numFmt w:val="bullet"/>
      <w:suff w:val="tab"/>
      <w:lvlText w:val="o"/>
      <w:lvlJc w:val="left"/>
      <w:pPr>
        <w:ind w:left="1800" w:hanging="360"/>
      </w:pPr>
      <w:rPr>
        <w:rFonts w:ascii="Courier New" w:eastAsia="Courier New" w:hAnsi="Courier New" w:cs="Courier New"/>
      </w:rPr>
    </w:lvl>
    <w:lvl w:ilvl="2">
      <w:start w:val="1"/>
      <w:numFmt w:val="bullet"/>
      <w:suff w:val="tab"/>
      <w:lvlText w:val=""/>
      <w:lvlJc w:val="left"/>
      <w:pPr>
        <w:ind w:left="2520" w:hanging="360"/>
      </w:pPr>
      <w:rPr>
        <w:rFonts w:ascii="Wingdings" w:eastAsia="Wingdings" w:hAnsi="Wingdings" w:cs="Wingdings"/>
      </w:rPr>
    </w:lvl>
    <w:lvl w:ilvl="3">
      <w:start w:val="1"/>
      <w:numFmt w:val="bullet"/>
      <w:suff w:val="tab"/>
      <w:lvlText w:val=""/>
      <w:lvlJc w:val="left"/>
      <w:pPr>
        <w:ind w:left="3240" w:hanging="360"/>
      </w:pPr>
      <w:rPr>
        <w:rFonts w:ascii="Symbol" w:eastAsia="Symbol" w:hAnsi="Symbol" w:cs="Symbol"/>
      </w:rPr>
    </w:lvl>
    <w:lvl w:ilvl="4">
      <w:start w:val="1"/>
      <w:numFmt w:val="bullet"/>
      <w:suff w:val="tab"/>
      <w:lvlText w:val="o"/>
      <w:lvlJc w:val="left"/>
      <w:pPr>
        <w:ind w:left="3960" w:hanging="360"/>
      </w:pPr>
      <w:rPr>
        <w:rFonts w:ascii="Courier New" w:eastAsia="Courier New" w:hAnsi="Courier New" w:cs="Courier New"/>
      </w:rPr>
    </w:lvl>
    <w:lvl w:ilvl="5">
      <w:start w:val="1"/>
      <w:numFmt w:val="bullet"/>
      <w:suff w:val="tab"/>
      <w:lvlText w:val=""/>
      <w:lvlJc w:val="left"/>
      <w:pPr>
        <w:ind w:left="4680" w:hanging="360"/>
      </w:pPr>
      <w:rPr>
        <w:rFonts w:ascii="Wingdings" w:eastAsia="Wingdings" w:hAnsi="Wingdings" w:cs="Wingdings"/>
      </w:rPr>
    </w:lvl>
    <w:lvl w:ilvl="6">
      <w:start w:val="1"/>
      <w:numFmt w:val="bullet"/>
      <w:suff w:val="tab"/>
      <w:lvlText w:val=""/>
      <w:lvlJc w:val="left"/>
      <w:pPr>
        <w:ind w:left="5400" w:hanging="360"/>
      </w:pPr>
      <w:rPr>
        <w:rFonts w:ascii="Symbol" w:eastAsia="Symbol" w:hAnsi="Symbol" w:cs="Symbol"/>
      </w:rPr>
    </w:lvl>
    <w:lvl w:ilvl="7">
      <w:start w:val="1"/>
      <w:numFmt w:val="bullet"/>
      <w:suff w:val="tab"/>
      <w:lvlText w:val="o"/>
      <w:lvlJc w:val="left"/>
      <w:pPr>
        <w:ind w:left="6120" w:hanging="360"/>
      </w:pPr>
      <w:rPr>
        <w:rFonts w:ascii="Courier New" w:eastAsia="Courier New" w:hAnsi="Courier New" w:cs="Courier New"/>
      </w:rPr>
    </w:lvl>
    <w:lvl w:ilvl="8">
      <w:start w:val="1"/>
      <w:numFmt w:val="bullet"/>
      <w:suff w:val="tab"/>
      <w:lvlText w:val=""/>
      <w:lvlJc w:val="left"/>
      <w:pPr>
        <w:ind w:left="6840" w:hanging="360"/>
      </w:pPr>
      <w:rPr>
        <w:rFonts w:ascii="Wingdings" w:eastAsia="Wingdings" w:hAnsi="Wingdings" w:cs="Wingdings"/>
      </w:rPr>
    </w:lvl>
  </w:abstractNum>
  <w:abstractNum w:abstractNumId="2">
    <w:multiLevelType w:val="singleLevel"/>
    <w:lvl w:ilvl="0">
      <w:start w:val="3"/>
      <w:numFmt w:val="chineseCounting"/>
      <w:suff w:val="nothing"/>
      <w:lvlText w:val="（%1）"/>
      <w:lvlJc w:val="left"/>
      <w:rPr>
        <w:rFonts w:hint="eastAsia"/>
      </w:rPr>
    </w:lvl>
  </w:abstractNum>
  <w:abstractNum w:abstractNumId="3">
    <w:multiLevelType w:val="singleLevel"/>
    <w:lvl w:ilvl="0">
      <w:start w:val="3"/>
      <w:numFmt w:val="decimal"/>
      <w:suff w:val="nothing"/>
      <w:lvlText w:val="%1）"/>
      <w:lvlJc w:val="lef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14="http://schemas.microsoft.com/office/word/2010/wordml" xmlns:sl="http://schemas.openxmlformats.org/schemaLibrary/2006/main" xmlns:w="http://schemas.openxmlformats.org/wordprocessingml/2006/main" mc:Ignorable="w14">
  <w:zoom w:percent="100"/>
  <w:bordersDoNotSurroundFooter/>
  <w:bordersDoNotSurroundHeader/>
  <w:doNotTrackMoves/>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allowSpaceOfSameStyleInTable/>
    <w:doNotSuppressIndentation/>
    <w:doNotAutofitConstrainedTables/>
    <w:autofitToFirstFixedWidthCell/>
    <w:displayHangulFixedWidth/>
    <w:doNotVertAlignCellWithSp/>
    <w:doNotBreakConstrainedForcedTable/>
    <w:doNotVertAlignInTxbx/>
    <w:useAnsiKerningPairs/>
    <w:cachedColBalance/>
    <w:compatSetting w:name="compatibilityMode" w:uri="http://schemas.microsoft.com/office/word" w:val="12"/>
  </w:compat>
  <w:docVars>
    <w:docVar w:name="commondata" w:val="eyJoZGlkIjoiM2Q0YzJjZmYwZmM4YTNhMDViNTkyMTNhM2QwMmM4NjgifQ=="/>
  </w:docVars>
  <m:mathPr>
    <m:mathFont m:val="Cambria Math"/>
    <m:brkBin m:val="before"/>
    <m:brkBinSub m:val="--"/>
    <m:lMargin m:val="0"/>
    <m:rMargin m:val="0"/>
    <m:defJc m:val="centerGroup"/>
    <m:preSp m:val="0"/>
    <m:postSp m:val="0"/>
    <m:interSp m:val="0"/>
    <m:intraSp m:val="0"/>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rial" w:eastAsia="宋体" w:hAnsi="Arial" w:eastAsiaTheme="minorEastAsia" w:cs="Arial"/>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9" w:unhideWhenUsed="0" w:qFormat="1"/>
    <w:lsdException w:name="heading 2" w:uiPriority="9" w:qFormat="1"/>
    <w:lsdException w:name="heading 3" w:semiHidden="0" w:uiPriority="1"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uiPriority="0"/>
    <w:lsdException w:name="index 2" w:uiPriority="0"/>
    <w:lsdException w:name="index 3" w:uiPriority="0"/>
    <w:lsdException w:name="index 4" w:uiPriority="0"/>
    <w:lsdException w:name="index 5" w:uiPriority="0"/>
    <w:lsdException w:name="index 6" w:uiPriority="0"/>
    <w:lsdException w:name="index 7" w:uiPriority="0"/>
    <w:lsdException w:name="index 8" w:uiPriority="0"/>
    <w:lsdException w:name="index 9"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note text" w:uiPriority="0"/>
    <w:lsdException w:name="annotation text" w:semiHidden="0" w:qFormat="1"/>
    <w:lsdException w:name="header" w:semiHidden="0" w:qFormat="1"/>
    <w:lsdException w:name="footer" w:semiHidden="0" w:qFormat="1"/>
    <w:lsdException w:name="index heading" w:uiPriority="0"/>
    <w:lsdException w:name="caption" w:uiPriority="35" w:qFormat="1"/>
    <w:lsdException w:name="table of figures" w:uiPriority="0"/>
    <w:lsdException w:name="envelope address" w:uiPriority="0"/>
    <w:lsdException w:name="envelope return" w:uiPriority="0"/>
    <w:lsdException w:name="footnote reference" w:uiPriority="0"/>
    <w:lsdException w:name="annotation reference" w:semiHidden="0" w:qFormat="1"/>
    <w:lsdException w:name="line number" w:uiPriority="0"/>
    <w:lsdException w:name="page number" w:uiPriority="0"/>
    <w:lsdException w:name="endnote reference" w:uiPriority="0"/>
    <w:lsdException w:name="endnote text" w:uiPriority="0"/>
    <w:lsdException w:name="table of authorities" w:uiPriority="0"/>
    <w:lsdException w:name="macro" w:uiPriority="0"/>
    <w:lsdException w:name="toa heading" w:uiPriority="0"/>
    <w:lsdException w:name="List" w:uiPriority="0"/>
    <w:lsdException w:name="List Bullet" w:uiPriority="0"/>
    <w:lsdException w:name="List Number" w:uiPriority="0"/>
    <w:lsdException w:name="List 2" w:uiPriority="0"/>
    <w:lsdException w:name="List 3" w:uiPriority="0"/>
    <w:lsdException w:name="List 4" w:uiPriority="0"/>
    <w:lsdException w:name="List 5" w:uiPriority="0"/>
    <w:lsdException w:name="List Bullet 2"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semiHidden="0" w:uiPriority="10" w:unhideWhenUsed="0" w:qFormat="1"/>
    <w:lsdException w:name="Closing" w:uiPriority="0"/>
    <w:lsdException w:name="Signature" w:uiPriority="0"/>
    <w:lsdException w:name="Default Paragraph Font" w:uiPriority="1" w:qFormat="1"/>
    <w:lsdException w:name="Body Text" w:semiHidden="0" w:uiPriority="1" w:unhideWhenUsed="0" w:qFormat="1"/>
    <w:lsdException w:name="Body Text Indent" w:uiPriority="0"/>
    <w:lsdException w:name="List Continue" w:uiPriority="0"/>
    <w:lsdException w:name="List Continue 2" w:uiPriority="0"/>
    <w:lsdException w:name="List Continue 3" w:uiPriority="0"/>
    <w:lsdException w:name="List Continue 4" w:uiPriority="0"/>
    <w:lsdException w:name="List Continue 5" w:uiPriority="0"/>
    <w:lsdException w:name="Message Header" w:uiPriority="0"/>
    <w:lsdException w:name="Subtitle" w:semiHidden="0" w:uiPriority="11" w:unhideWhenUsed="0" w:qFormat="1"/>
    <w:lsdException w:name="Salutation" w:uiPriority="0"/>
    <w:lsdException w:name="Date" w:uiPriority="0"/>
    <w:lsdException w:name="Body Text First Indent" w:uiPriority="0"/>
    <w:lsdException w:name="Body Text First Indent 2" w:uiPriority="0"/>
    <w:lsdException w:name="Body Text 2" w:uiPriority="0"/>
    <w:lsdException w:name="Body Text 3" w:uiPriority="0"/>
    <w:lsdException w:name="Body Text Indent 2" w:uiPriority="0"/>
    <w:lsdException w:name="Body Text Indent 3" w:uiPriority="0"/>
    <w:lsdException w:name="Block Text" w:uiPriority="0"/>
    <w:lsdException w:name="Hyperlink" w:uiPriority="0"/>
    <w:lsdException w:name="FollowedHyperlink" w:uiPriority="0"/>
    <w:lsdException w:name="Strong" w:semiHidden="0" w:uiPriority="22" w:unhideWhenUsed="0" w:qFormat="1"/>
    <w:lsdException w:name="Emphasis" w:semiHidden="0" w:uiPriority="20" w:unhideWhenUsed="0" w:qFormat="1"/>
    <w:lsdException w:name="Document Map" w:uiPriority="0"/>
    <w:lsdException w:name="Plain Text" w:uiPriority="0"/>
    <w:lsdException w:name="E-mail Signature" w:uiPriority="0"/>
    <w:lsdException w:name="Normal (Web)" w:semiHidden="0" w:qFormat="1"/>
    <w:lsdException w:name="HTML Acronym" w:uiPriority="0"/>
    <w:lsdException w:name="HTML Address" w:uiPriority="0"/>
    <w:lsdException w:name="HTML Cite" w:uiPriority="0"/>
    <w:lsdException w:name="HTML Code" w:uiPriority="0"/>
    <w:lsdException w:name="HTML Definition" w:uiPriority="0"/>
    <w:lsdException w:name="HTML Keyboard" w:uiPriority="0"/>
    <w:lsdException w:name="HTML Preformatted" w:uiPriority="0"/>
    <w:lsdException w:name="HTML Sample" w:uiPriority="0"/>
    <w:lsdException w:name="HTML Variable" w:uiPriority="0"/>
    <w:lsdException w:name="Normal Table" w:qFormat="1"/>
    <w:lsdException w:name="annotation subject" w:uiPriority="0"/>
    <w:lsdException w:name="Table Simple 1" w:uiPriority="0"/>
    <w:lsdException w:name="Table Simple 2" w:uiPriority="0"/>
    <w:lsdException w:name="Table Simple 3" w:uiPriority="0"/>
    <w:lsdException w:name="Table Classic 1" w:uiPriority="0"/>
    <w:lsdException w:name="Table Classic 2" w:uiPriority="0"/>
    <w:lsdException w:name="Table Classic 3" w:uiPriority="0"/>
    <w:lsdException w:name="Table Classic 4" w:uiPriority="0"/>
    <w:lsdException w:name="Table Colorful 1" w:uiPriority="0"/>
    <w:lsdException w:name="Table Colorful 2" w:uiPriority="0"/>
    <w:lsdException w:name="Table Colorful 3" w:uiPriority="0"/>
    <w:lsdException w:name="Table Columns 1" w:uiPriority="0"/>
    <w:lsdException w:name="Table Columns 2" w:uiPriority="0"/>
    <w:lsdException w:name="Table Columns 3" w:uiPriority="0"/>
    <w:lsdException w:name="Table Columns 4" w:uiPriority="0"/>
    <w:lsdException w:name="Table Columns 5" w:uiPriority="0"/>
    <w:lsdException w:name="Table Grid 1" w:uiPriority="0"/>
    <w:lsdException w:name="Table Grid 2" w:uiPriority="0"/>
    <w:lsdException w:name="Table Grid 3" w:uiPriority="0"/>
    <w:lsdException w:name="Table Grid 4" w:uiPriority="0"/>
    <w:lsdException w:name="Table Grid 5" w:uiPriority="0"/>
    <w:lsdException w:name="Table Grid 6" w:uiPriority="0"/>
    <w:lsdException w:name="Table Grid 7" w:uiPriority="0"/>
    <w:lsdException w:name="Table Grid 8" w:uiPriority="0"/>
    <w:lsdException w:name="Table List 1" w:uiPriority="0"/>
    <w:lsdException w:name="Table List 2" w:uiPriority="0"/>
    <w:lsdException w:name="Table List 3" w:uiPriority="0"/>
    <w:lsdException w:name="Table List 4" w:uiPriority="0"/>
    <w:lsdException w:name="Table List 5" w:uiPriority="0"/>
    <w:lsdException w:name="Table List 6" w:uiPriority="0"/>
    <w:lsdException w:name="Table List 7" w:uiPriority="0"/>
    <w:lsdException w:name="Table List 8" w:uiPriority="0"/>
    <w:lsdException w:name="Table 3D effects 1" w:uiPriority="0"/>
    <w:lsdException w:name="Table 3D effects 2" w:uiPriority="0"/>
    <w:lsdException w:name="Table 3D effects 3" w:uiPriority="0"/>
    <w:lsdException w:name="Table Contemporary" w:uiPriority="0"/>
    <w:lsdException w:name="Table Elegant" w:uiPriority="0"/>
    <w:lsdException w:name="Table Professional" w:uiPriority="0"/>
    <w:lsdException w:name="Table Subtle 1" w:uiPriority="0"/>
    <w:lsdException w:name="Table Subtle 2" w:uiPriority="0"/>
    <w:lsdException w:name="Table Web 1" w:uiPriority="0"/>
    <w:lsdException w:name="Table Web 2" w:uiPriority="0"/>
    <w:lsdException w:name="Table Web 3" w:uiPriority="0"/>
    <w:lsdException w:name="Balloon Text" w:semiHidden="0" w:qFormat="1"/>
    <w:lsdException w:name="Table Grid" w:semiHidden="0" w:uiPriority="39" w:unhideWhenUsed="0" w:qFormat="1"/>
    <w:lsdException w:name="Table Theme" w:uiPriority="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宋体" w:eastAsia="宋体" w:hAnsi="宋体" w:cs="宋体"/>
      <w:kern w:val="2"/>
      <w:sz w:val="28"/>
      <w:szCs w:val="22"/>
      <w:lang w:val="en-US" w:eastAsia="zh-CN" w:bidi="ar-SA"/>
    </w:rPr>
  </w:style>
  <w:style w:type="paragraph" w:styleId="Heading3">
    <w:name w:val="Heading 3"/>
    <w:basedOn w:val="Normal"/>
    <w:next w:val="Normal"/>
    <w:uiPriority w:val="1"/>
    <w:qFormat/>
    <w:pPr>
      <w:autoSpaceDE w:val="0"/>
      <w:autoSpaceDN w:val="0"/>
      <w:adjustRightInd w:val="0"/>
      <w:spacing w:before="34"/>
      <w:ind w:left="120"/>
      <w:jc w:val="left"/>
      <w:outlineLvl w:val="2"/>
    </w:pPr>
    <w:rPr>
      <w:rFonts w:ascii="宋体" w:eastAsia="楷体" w:hAnsi="Times New Roman"/>
      <w:b/>
      <w:bCs/>
      <w:kern w:val="0"/>
      <w:sz w:val="24"/>
      <w:szCs w:val="21"/>
    </w:rPr>
  </w:style>
  <w:style w:type="character" w:default="1" w:styleId="DefaultParagraphFont">
    <w:name w:val="Default Paragraph Font"/>
    <w:uiPriority w:val="1"/>
    <w:semiHidden/>
    <w:unhideWhenUsed/>
    <w:qFormat/>
    <w:rPr/>
  </w:style>
  <w:style w:type="table" w:default="1" w:styleId="TableNormal">
    <w:name w:val="Normal Table"/>
    <w:uiPriority w:val="99"/>
    <w:semiHidden/>
    <w:unhideWhenUsed/>
    <w:qFormat/>
    <w:rPr/>
    <w:tblPr>
      <w:tblCellMar>
        <w:top w:w="0" w:type="dxa"/>
        <w:left w:w="108" w:type="dxa"/>
        <w:bottom w:w="0" w:type="dxa"/>
        <w:right w:w="108" w:type="dxa"/>
      </w:tblCellMar>
    </w:tblPr>
  </w:style>
  <w:style w:type="paragraph" w:styleId="annotationtext">
    <w:name w:val="annotation text"/>
    <w:basedOn w:val="Normal"/>
    <w:uiPriority w:val="99"/>
    <w:unhideWhenUsed/>
    <w:qFormat/>
    <w:pPr>
      <w:jc w:val="left"/>
    </w:pPr>
    <w:rPr/>
  </w:style>
  <w:style w:type="paragraph" w:styleId="BodyText">
    <w:name w:val="Body Text"/>
    <w:basedOn w:val="Normal"/>
    <w:uiPriority w:val="1"/>
    <w:qFormat/>
    <w:pPr>
      <w:autoSpaceDE w:val="0"/>
      <w:autoSpaceDN w:val="0"/>
      <w:adjustRightInd w:val="0"/>
      <w:spacing w:before="162"/>
      <w:ind w:left="120"/>
      <w:jc w:val="left"/>
    </w:pPr>
    <w:rPr>
      <w:rFonts w:ascii="宋体" w:eastAsia="宋体" w:hAnsi="Times New Roman" w:cs="宋体"/>
      <w:kern w:val="0"/>
      <w:sz w:val="20"/>
      <w:szCs w:val="21"/>
    </w:rPr>
  </w:style>
  <w:style w:type="paragraph" w:styleId="BalloonText">
    <w:name w:val="Balloon Text"/>
    <w:basedOn w:val="Normal"/>
    <w:uiPriority w:val="99"/>
    <w:unhideWhenUsed/>
    <w:qFormat/>
    <w:rPr>
      <w:sz w:val="18"/>
      <w:szCs w:val="18"/>
    </w:rPr>
  </w:style>
  <w:style w:type="paragraph" w:styleId="Footer">
    <w:name w:val="Footer"/>
    <w:basedOn w:val="Normal"/>
    <w:uiPriority w:val="99"/>
    <w:unhideWhenUsed/>
    <w:qFormat/>
    <w:pPr>
      <w:tabs>
        <w:tab w:val="center" w:pos="4153"/>
        <w:tab w:val="right" w:pos="8306"/>
      </w:tabs>
      <w:snapToGrid w:val="0"/>
      <w:jc w:val="left"/>
    </w:pPr>
    <w:rPr>
      <w:sz w:val="18"/>
      <w:szCs w:val="18"/>
    </w:rPr>
  </w:style>
  <w:style w:type="paragraph" w:styleId="Header">
    <w:name w:val="Header"/>
    <w:basedOn w:val="Normal"/>
    <w:uiPriority w:val="99"/>
    <w:unhideWhenUsed/>
    <w:qFormat/>
    <w:pPr>
      <w:pBdr>
        <w:bottom w:val="single" w:sz="6" w:space="1" w:color="auto"/>
      </w:pBdr>
      <w:tabs>
        <w:tab w:val="center" w:pos="4153"/>
        <w:tab w:val="right" w:pos="8306"/>
      </w:tabs>
      <w:snapToGrid w:val="0"/>
      <w:jc w:val="center"/>
    </w:pPr>
    <w:rPr>
      <w:sz w:val="18"/>
      <w:szCs w:val="18"/>
    </w:rPr>
  </w:style>
  <w:style w:type="paragraph" w:styleId="Normal(Web)">
    <w:name w:val="Normal (Web)"/>
    <w:basedOn w:val="Normal"/>
    <w:uiPriority w:val="99"/>
    <w:unhideWhenUsed/>
    <w:qFormat/>
    <w:pPr>
      <w:widowControl/>
      <w:spacing w:before="100" w:beforeAutospacing="1" w:after="100" w:afterAutospacing="1"/>
      <w:jc w:val="left"/>
    </w:pPr>
    <w:rPr>
      <w:rFonts w:ascii="宋体" w:eastAsia="宋体" w:hAnsi="宋体" w:cs="宋体"/>
      <w:kern w:val="0"/>
      <w:sz w:val="24"/>
      <w:szCs w:val="24"/>
    </w:rPr>
  </w:style>
  <w:style w:type="table" w:styleId="TableGrid">
    <w:name w:val="Table Grid"/>
    <w:basedOn w:val="TableNormal"/>
    <w:uiPriority w:val="39"/>
    <w:qForma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nnotationreference">
    <w:name w:val="annotation reference"/>
    <w:uiPriority w:val="99"/>
    <w:unhideWhenUsed/>
    <w:qFormat/>
    <w:rPr>
      <w:sz w:val="21"/>
      <w:szCs w:val="21"/>
    </w:rPr>
  </w:style>
  <w:style w:type="paragraph" w:customStyle="1" w:styleId="无间隔1">
    <w:name w:val="无间隔1"/>
    <w:uiPriority w:val="1"/>
    <w:qFormat/>
    <w:pPr>
      <w:widowControl w:val="0"/>
      <w:jc w:val="both"/>
    </w:pPr>
    <w:rPr>
      <w:rFonts w:ascii="DengXian" w:eastAsia="DengXian" w:hAnsi="DengXian" w:cs="Times New Roman"/>
      <w:kern w:val="2"/>
      <w:sz w:val="21"/>
      <w:szCs w:val="22"/>
      <w:lang w:val="en-US" w:eastAsia="zh-CN" w:bidi="ar-SA"/>
    </w:rPr>
  </w:style>
  <w:style w:type="paragraph" w:customStyle="1" w:styleId="标题4">
    <w:name w:val="标题4"/>
    <w:basedOn w:val="Normal"/>
    <w:qFormat/>
    <w:rPr>
      <w:rFonts w:eastAsia="楷体"/>
    </w:rPr>
  </w:style>
  <w:style w:type="character" w:customStyle="1" w:styleId="页眉字符">
    <w:name w:val="页眉 字符"/>
    <w:link w:val="批注框文本字符"/>
    <w:uiPriority w:val="99"/>
    <w:qFormat/>
    <w:rPr>
      <w:sz w:val="18"/>
      <w:szCs w:val="18"/>
    </w:rPr>
  </w:style>
  <w:style w:type="character" w:customStyle="1" w:styleId="页脚字符">
    <w:name w:val="页脚 字符"/>
    <w:link w:val="标题3字符"/>
    <w:uiPriority w:val="99"/>
    <w:qFormat/>
    <w:rPr>
      <w:sz w:val="18"/>
      <w:szCs w:val="18"/>
    </w:rPr>
  </w:style>
  <w:style w:type="character" w:customStyle="1" w:styleId="正文文本字符1">
    <w:name w:val="正文文本 字符1"/>
    <w:uiPriority w:val="1"/>
    <w:qFormat/>
    <w:rPr>
      <w:rFonts w:ascii="宋体" w:eastAsia="宋体" w:hAnsi="Times New Roman" w:cs="宋体"/>
      <w:szCs w:val="21"/>
    </w:rPr>
  </w:style>
  <w:style w:type="character" w:customStyle="1" w:styleId="正文文本字符">
    <w:name w:val="正文文本 字符"/>
    <w:uiPriority w:val="99"/>
    <w:semiHidden/>
    <w:qFormat/>
    <w:rPr>
      <w:kern w:val="2"/>
      <w:sz w:val="21"/>
      <w:szCs w:val="22"/>
    </w:rPr>
  </w:style>
  <w:style w:type="character" w:customStyle="1" w:styleId="批注文字字符1">
    <w:name w:val="批注文字 字符1"/>
    <w:uiPriority w:val="99"/>
    <w:qFormat/>
    <w:rPr>
      <w:kern w:val="2"/>
      <w:sz w:val="21"/>
      <w:szCs w:val="22"/>
    </w:rPr>
  </w:style>
  <w:style w:type="character" w:customStyle="1" w:styleId="批注文字字符">
    <w:name w:val="批注文字 字符"/>
    <w:uiPriority w:val="99"/>
    <w:semiHidden/>
    <w:qFormat/>
    <w:rPr>
      <w:kern w:val="2"/>
      <w:sz w:val="21"/>
      <w:szCs w:val="22"/>
    </w:rPr>
  </w:style>
  <w:style w:type="character" w:customStyle="1" w:styleId="批注框文本字符">
    <w:name w:val="批注框文本 字符"/>
    <w:uiPriority w:val="99"/>
    <w:semiHidden/>
    <w:qFormat/>
    <w:rPr>
      <w:kern w:val="2"/>
      <w:sz w:val="18"/>
      <w:szCs w:val="18"/>
    </w:rPr>
  </w:style>
  <w:style w:type="character" w:customStyle="1" w:styleId="标题3字符">
    <w:name w:val="标题 3 字符"/>
    <w:uiPriority w:val="9"/>
    <w:semiHidden/>
    <w:qFormat/>
    <w:rPr>
      <w:b/>
      <w:bCs/>
      <w:kern w:val="2"/>
      <w:sz w:val="32"/>
      <w:szCs w:val="32"/>
    </w:rPr>
  </w:style>
  <w:style w:type="character" w:customStyle="1" w:styleId="标题3字符1">
    <w:name w:val="标题 3 字符1"/>
    <w:link w:val="Heading3"/>
    <w:uiPriority w:val="1"/>
    <w:qFormat/>
    <w:rPr>
      <w:rFonts w:ascii="宋体" w:eastAsia="楷体" w:hAnsi="Times New Roman"/>
      <w:b/>
      <w:bCs/>
      <w:sz w:val="24"/>
      <w:szCs w:val="21"/>
    </w:rPr>
  </w:style>
  <w:style w:type="character" w:customStyle="1" w:styleId="标题4字符">
    <w:name w:val="标题4 字符"/>
    <w:qFormat/>
    <w:rPr>
      <w:rFonts w:eastAsia="楷体"/>
      <w:kern w:val="2"/>
      <w:sz w:val="21"/>
      <w:szCs w:val="22"/>
    </w:rPr>
  </w:style>
  <w:style w:type="paragraph" w:customStyle="1" w:styleId="TableText">
    <w:name w:val="Table Text"/>
    <w:basedOn w:val="Normal"/>
    <w:semiHidden/>
    <w:qFormat/>
    <w:rPr>
      <w:rFonts w:ascii="楷体" w:eastAsia="楷体" w:hAnsi="楷体" w:cs="楷体"/>
      <w:sz w:val="22"/>
    </w:rPr>
  </w:style>
  <w:style w:type="table" w:customStyle="1" w:styleId="TableNormal0">
    <w:name w:val="Table Normal"/>
    <w:semiHidden/>
    <w:unhideWhenUsed/>
    <w:qFormat/>
    <w:rPr/>
    <w:tblPr>
      <w:tblCellMar>
        <w:top w:w="0" w:type="dxa"/>
        <w:left w:w="0" w:type="dxa"/>
        <w:bottom w:w="0" w:type="dxa"/>
        <w:right w:w="0"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&#65279;<?xml version="1.0" encoding="utf-8"?><Relationships xmlns="http://schemas.openxmlformats.org/package/2006/relationships"><Relationship Id="rId1" Type="http://schemas.openxmlformats.org/officeDocument/2006/relationships/customXml" Target="../customXml/item1.xml" /><Relationship Id="rId10" Type="http://schemas.openxmlformats.org/officeDocument/2006/relationships/styles" Target="styles.xml" /><Relationship Id="rId11" Type="http://schemas.openxmlformats.org/officeDocument/2006/relationships/webSettings" Target="webSettings.xml" /><Relationship Id="rId12" Type="http://schemas.openxmlformats.org/officeDocument/2006/relationships/numbering" Target="numbering.xml" /><Relationship Id="rId13" Type="http://schemas.openxmlformats.org/officeDocument/2006/relationships/fontTable" Target="fontTable.xml" /><Relationship Id="rId14" Type="http://schemas.openxmlformats.org/officeDocument/2006/relationships/settings" Target="settings.xml" /><Relationship Id="rId2" Type="http://schemas.openxmlformats.org/officeDocument/2006/relationships/customXml" Target="../customXml/item2.xml" /><Relationship Id="rId3" Type="http://schemas.openxmlformats.org/officeDocument/2006/relationships/customXml" Target="../customXml/item3.xml" /><Relationship Id="rId4" Type="http://schemas.openxmlformats.org/officeDocument/2006/relationships/customXml" Target="../customXml/item4.xml" /><Relationship Id="rId5" Type="http://schemas.openxmlformats.org/officeDocument/2006/relationships/header" Target="header1.xml" /><Relationship Id="rId6" Type="http://schemas.openxmlformats.org/officeDocument/2006/relationships/header" Target="header2.xml" /><Relationship Id="rId7" Type="http://schemas.openxmlformats.org/officeDocument/2006/relationships/header" Target="header3.xml" /><Relationship Id="rId8" Type="http://schemas.openxmlformats.org/officeDocument/2006/relationships/footer" Target="footer1.xml" /><Relationship Id="rId9" Type="http://schemas.openxmlformats.org/officeDocument/2006/relationships/theme" Target="theme/theme1.xml" /></Relationships>
</file>

<file path=word/_rels/header1.xml.rels>&#65279;<?xml version="1.0" encoding="utf-8"?><Relationships xmlns="http://schemas.openxmlformats.org/package/2006/relationships"><Relationship Id="rId1" Type="http://schemas.openxmlformats.org/officeDocument/2006/relationships/image" Target="media/image1.png" /></Relationships>
</file>

<file path=word/_rels/header2.xml.rels>&#65279;<?xml version="1.0" encoding="utf-8"?><Relationships xmlns="http://schemas.openxmlformats.org/package/2006/relationships"><Relationship Id="rId1" Type="http://schemas.openxmlformats.org/officeDocument/2006/relationships/image" Target="media/image1.png" /><Relationship Id="rId2" Type="http://schemas.openxmlformats.org/officeDocument/2006/relationships/image" Target="media/image2.png" /></Relationships>
</file>

<file path=word/_rels/header3.xml.rels>&#65279;<?xml version="1.0" encoding="utf-8"?><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Relationships xmlns="http://schemas.openxmlformats.org/package/2006/relationships"><Relationship Id="rId1" Type="http://schemas.openxmlformats.org/officeDocument/2006/relationships/customXmlProps" Target="itemProps1.xml" /></Relationships>
</file>

<file path=customXml/_rels/item2.xml.rels>&#65279;<?xml version="1.0" encoding="utf-8"?><Relationships xmlns="http://schemas.openxmlformats.org/package/2006/relationships"><Relationship Id="rId1" Type="http://schemas.openxmlformats.org/officeDocument/2006/relationships/customXmlProps" Target="itemProps2.xml" /></Relationships>
</file>

<file path=customXml/_rels/item3.xml.rels>&#65279;<?xml version="1.0" encoding="utf-8"?><Relationships xmlns="http://schemas.openxmlformats.org/package/2006/relationships"><Relationship Id="rId1" Type="http://schemas.openxmlformats.org/officeDocument/2006/relationships/customXmlProps" Target="itemProps3.xml" /></Relationships>
</file>

<file path=customXml/_rels/item4.xml.rels>&#65279;<?xml version="1.0" encoding="utf-8"?><Relationships xmlns="http://schemas.openxmlformats.org/package/2006/relationships"><Relationship Id="rId1" Type="http://schemas.openxmlformats.org/officeDocument/2006/relationships/customXmlProps" Target="itemProps4.xml" /></Relationships>
</file>

<file path=customXml/item1.xml><?xml version="1.0" encoding="utf-8"?>
<cp:coreProperties xmlns:cp="http://schemas.openxmlformats.org/package/2006/metadata/core-properties" xmlns:dc="http://purl.org/dc/elements/1.1/" xmlns:dcterms="http://purl.org/dc/terms/" xmlns:xsi="http://www.w3.org/2001/XMLSchema-instance">
  <dcterms:created xsi:type="dcterms:W3CDTF">2021-11-18T10:04:00Z</dcterms:created>
  <dc:creator>User</dc:creator>
  <cp:lastModifiedBy>User</cp:lastModifiedBy>
  <dcterms:modified xsi:type="dcterms:W3CDTF">2025-07-14T12:13:26Z</dcterms:modified>
  <cp:revision>22</cp:revision>
  <dc:title>“${prdInfo.PRD_NAME}”理财产品</dc:title>
</cp:coreProperties>
</file>

<file path=customXml/item2.xml><?xml version="1.0" encoding="utf-8"?>
<Properties xmlns="http://schemas.openxmlformats.org/officeDocument/2006/extended-properties" xmlns:vt="http://schemas.openxmlformats.org/officeDocument/2006/docPropsVTypes">
  <Template>Normal.dotm</Template>
  <Company>WORKGROUP</Company>
  <Pages>4</Pages>
  <Words>419</Words>
  <Characters>2389</Characters>
  <Lines>19</Lines>
  <Paragraphs>5</Paragraphs>
  <TotalTime>2</TotalTime>
  <ScaleCrop>false</ScaleCrop>
  <LinksUpToDate>false</LinksUpToDate>
  <CharactersWithSpaces>2803</CharactersWithSpaces>
  <Application>WPS Office_11.8.2.11734_F1E327BC-269C-435d-A152-05C5408002CA</Application>
  <DocSecurity>0</DocSecurity>
</Properties>
</file>

<file path=customXml/item3.xml><?xml version="1.0" encoding="utf-8"?>
<Properties xmlns="http://schemas.openxmlformats.org/officeDocument/2006/custom-properties" xmlns:vt="http://schemas.openxmlformats.org/officeDocument/2006/docPropsVTypes">
  <property fmtid="{D5CDD505-2E9C-101B-9397-08002B2CF9AE}" pid="2" name="KSOProductBuildVer">
    <vt:lpwstr>2052-11.8.2.11734</vt:lpwstr>
  </property>
  <property fmtid="{D5CDD505-2E9C-101B-9397-08002B2CF9AE}" pid="3" name="ICV">
    <vt:lpwstr>31802637FF8E4298AD1DCE61A946E12D</vt:lpwstr>
  </property>
</Properties>
</file>

<file path=customXml/item4.xml><?xml version="1.0" encoding="utf-8"?>
<s:customData xmlns="http://www.wps.cn/officeDocument/2013/wpsCustomData" xmlns:s="http://www.wps.cn/officeDocument/2013/wpsCustomData">
  <customSectProps>
    <customSectPr/>
  </customSectProps>
  <customShpExts>
    <customShpInfo spid="_x0000_s3074"/>
    <customShpInfo spid="_x0000_s3075"/>
    <customShpInfo spid="_x0000_s3076"/>
    <customShpInfo spid="_x0000_s3073"/>
  </customShpExts>
</s:customData>
</file>

<file path=customXml/itemProps1.xml><?xml version="1.0" encoding="utf-8"?>
<ds:datastoreItem xmlns:ds="http://schemas.openxmlformats.org/officeDocument/2006/customXml" ds:itemID="">
  <ds:schemaRefs/>
</ds:datastoreItem>
</file>

<file path=customXml/itemProps2.xml><?xml version="1.0" encoding="utf-8"?>
<ds:datastoreItem xmlns:ds="http://schemas.openxmlformats.org/officeDocument/2006/customXml" ds:itemID="">
  <ds:schemaRefs/>
</ds:datastoreItem>
</file>

<file path=customXml/itemProps3.xml><?xml version="1.0" encoding="utf-8"?>
<ds:datastoreItem xmlns:ds="http://schemas.openxmlformats.org/officeDocument/2006/customXml" ds:itemID="">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vt="http://schemas.openxmlformats.org/officeDocument/2006/docPropsVTypes" xmlns="http://schemas.openxmlformats.org/officeDocument/2006/extended-properties">
  <Template>Normal.dotm</Template>
  <TotalTime>2</TotalTime>
  <Pages>4</Pages>
  <Words>419</Words>
  <Characters>2389</Characters>
  <Application>WPS Office_11.8.2.11734_F1E327BC-269C-435d-A152-05C5408002CA</Application>
  <DocSecurity>0</DocSecurity>
  <Lines>19</Lines>
  <Paragraphs>5</Paragraphs>
  <Company>WORKGROUP</Company>
  <CharactersWithSpaces>2803</CharactersWithSpaces>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_x201C__x0024__x007B_prdInfo.PRD_NAME_x007D__x201D_理财产品</dc:title>
  <dc:creator>User</dc:creator>
  <cp:lastModifiedBy>User</cp:lastModifiedBy>
  <cp:revision>22</cp:revision>
  <dcterms:created xsi:type="dcterms:W3CDTF">2021-11-18T10:04:00Z</dcterms:created>
  <dcterms:modified xsi:type="dcterms:W3CDTF">2025-07-16T03:03:10Z</dcterms:modified>
</cp:coreProperties>
</file>

<file path=docProps/custom.xml><?xml version="1.0" encoding="utf-8"?>
<Properties xmlns:vt="http://schemas.openxmlformats.org/officeDocument/2006/docPropsVTypes" xmlns="http://schemas.openxmlformats.org/officeDocument/2006/custom-properties">
  <property fmtid="{D5CDD505-2E9C-101B-9397-08002B2CF9AE}" pid="2" name="KSOProductBuildVer">
    <vt:lpstr>2052-11.8.2.11734</vt:lpstr>
  </property>
  <property fmtid="{D5CDD505-2E9C-101B-9397-08002B2CF9AE}" pid="3" name="ICV">
    <vt:lpstr>31802637FF8E4298AD1DCE61A946E12D</vt:lpstr>
  </property>
</Properties>
</file>